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9FE48EE" w14:textId="3FCF0916" w:rsidR="00F85139" w:rsidRPr="00946FD0" w:rsidRDefault="00F85139" w:rsidP="005A2907">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3B2ABF">
        <w:rPr>
          <w:rFonts w:ascii="Arial" w:eastAsia="等线" w:hAnsi="Arial"/>
          <w:b/>
          <w:noProof/>
          <w:sz w:val="24"/>
          <w:szCs w:val="21"/>
        </w:rPr>
        <w:t>7</w:t>
      </w:r>
      <w:r w:rsidR="00A571A2">
        <w:rPr>
          <w:rFonts w:ascii="Arial" w:eastAsia="等线" w:hAnsi="Arial"/>
          <w:b/>
          <w:noProof/>
          <w:sz w:val="24"/>
          <w:szCs w:val="21"/>
        </w:rPr>
        <w:t>bis</w:t>
      </w:r>
      <w:r w:rsidRPr="005A2907">
        <w:rPr>
          <w:rFonts w:ascii="Arial" w:eastAsia="等线" w:hAnsi="Arial"/>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DC27DE" w:rsidRPr="00DC27DE">
        <w:rPr>
          <w:rFonts w:ascii="Arial" w:eastAsia="等线" w:hAnsi="Arial"/>
          <w:b/>
          <w:noProof/>
          <w:sz w:val="24"/>
          <w:szCs w:val="21"/>
        </w:rPr>
        <w:t>R2-2408015</w:t>
      </w:r>
    </w:p>
    <w:p w14:paraId="5824FFEA" w14:textId="33B3AA62" w:rsidR="00F85139" w:rsidRPr="007E0414" w:rsidRDefault="00A571A2" w:rsidP="00123DD3">
      <w:pPr>
        <w:tabs>
          <w:tab w:val="left" w:pos="1985"/>
          <w:tab w:val="left" w:pos="8931"/>
        </w:tabs>
        <w:adjustRightInd w:val="0"/>
        <w:snapToGrid w:val="0"/>
        <w:spacing w:after="0" w:line="240" w:lineRule="auto"/>
        <w:rPr>
          <w:rFonts w:ascii="Arial" w:eastAsia="等线" w:hAnsi="Arial"/>
          <w:b/>
          <w:noProof/>
          <w:sz w:val="24"/>
          <w:szCs w:val="21"/>
        </w:rPr>
      </w:pPr>
      <w:r w:rsidRPr="005A2907">
        <w:rPr>
          <w:rFonts w:ascii="Arial" w:eastAsia="等线" w:hAnsi="Arial"/>
          <w:b/>
          <w:noProof/>
          <w:sz w:val="24"/>
          <w:szCs w:val="21"/>
        </w:rPr>
        <w:t>Hefei, China, Oct</w:t>
      </w:r>
      <w:r w:rsidR="002D5886" w:rsidRPr="005A2907">
        <w:rPr>
          <w:rFonts w:ascii="Arial" w:eastAsia="等线" w:hAnsi="Arial" w:hint="eastAsia"/>
          <w:b/>
          <w:noProof/>
          <w:sz w:val="24"/>
          <w:szCs w:val="21"/>
        </w:rPr>
        <w:t>ober</w:t>
      </w:r>
      <w:r w:rsidRPr="005A2907">
        <w:rPr>
          <w:rFonts w:ascii="Arial" w:eastAsia="等线" w:hAnsi="Arial"/>
          <w:b/>
          <w:noProof/>
          <w:sz w:val="24"/>
          <w:szCs w:val="21"/>
        </w:rPr>
        <w:t xml:space="preserve"> 14</w:t>
      </w:r>
      <w:r w:rsidRPr="00A67DA6">
        <w:rPr>
          <w:rFonts w:ascii="Arial" w:eastAsia="等线" w:hAnsi="Arial"/>
          <w:b/>
          <w:noProof/>
          <w:sz w:val="24"/>
          <w:szCs w:val="21"/>
          <w:vertAlign w:val="superscript"/>
        </w:rPr>
        <w:t>th</w:t>
      </w:r>
      <w:r w:rsidRPr="005A2907">
        <w:rPr>
          <w:rFonts w:ascii="Arial" w:eastAsia="等线" w:hAnsi="Arial"/>
          <w:b/>
          <w:noProof/>
          <w:sz w:val="24"/>
          <w:szCs w:val="21"/>
        </w:rPr>
        <w:t xml:space="preserve"> – 18</w:t>
      </w:r>
      <w:r w:rsidRPr="00A67DA6">
        <w:rPr>
          <w:rFonts w:ascii="Arial" w:eastAsia="等线" w:hAnsi="Arial"/>
          <w:b/>
          <w:noProof/>
          <w:sz w:val="24"/>
          <w:szCs w:val="21"/>
          <w:vertAlign w:val="superscript"/>
        </w:rPr>
        <w:t>th</w:t>
      </w:r>
      <w:r w:rsidRPr="005A2907">
        <w:rPr>
          <w:rFonts w:ascii="Arial" w:eastAsia="等线" w:hAnsi="Arial"/>
          <w:b/>
          <w:noProof/>
          <w:sz w:val="24"/>
          <w:szCs w:val="21"/>
        </w:rPr>
        <w:t>, 2024</w:t>
      </w:r>
    </w:p>
    <w:p w14:paraId="49989B3C" w14:textId="77777777" w:rsidR="00123DD3" w:rsidRPr="005E2CD5" w:rsidRDefault="00123DD3" w:rsidP="00123DD3">
      <w:pPr>
        <w:adjustRightInd w:val="0"/>
        <w:snapToGrid w:val="0"/>
        <w:spacing w:after="0" w:line="240" w:lineRule="auto"/>
        <w:ind w:left="1920" w:hangingChars="800" w:hanging="1920"/>
        <w:rPr>
          <w:rFonts w:ascii="Arial" w:hAnsi="Arial" w:cs="Arial"/>
          <w:b/>
          <w:bCs/>
          <w:sz w:val="24"/>
          <w:szCs w:val="24"/>
          <w:lang w:val="en-US"/>
        </w:rPr>
      </w:pPr>
    </w:p>
    <w:p w14:paraId="19660951" w14:textId="5D7416B9"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410AE4" w:rsidRPr="00410AE4">
        <w:rPr>
          <w:rFonts w:ascii="Arial" w:hAnsi="Arial" w:cs="Arial"/>
          <w:b/>
          <w:bCs/>
          <w:sz w:val="24"/>
          <w:szCs w:val="24"/>
          <w:lang w:val="en-US"/>
        </w:rPr>
        <w:t>8.8.2</w:t>
      </w:r>
    </w:p>
    <w:p w14:paraId="7A80335A" w14:textId="77777777" w:rsidR="00493ED4" w:rsidRPr="00F85139" w:rsidRDefault="002B5AD1" w:rsidP="005A2907">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2090EA81" w:rsidR="00493ED4" w:rsidRPr="00F85139" w:rsidRDefault="002B5AD1" w:rsidP="005A2907">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97268B" w:rsidRPr="0097268B">
        <w:rPr>
          <w:rFonts w:ascii="Arial" w:hAnsi="Arial" w:cs="Arial"/>
          <w:b/>
          <w:bCs/>
          <w:sz w:val="24"/>
          <w:szCs w:val="24"/>
          <w:lang w:val="en-US"/>
        </w:rPr>
        <w:t>Discussion on Cell Bar Control for DL Coverage Enhancement</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68E000AB" w14:textId="77777777" w:rsidR="005473A5" w:rsidRDefault="005473A5" w:rsidP="005473A5">
      <w:pPr>
        <w:pStyle w:val="1"/>
        <w:numPr>
          <w:ilvl w:val="0"/>
          <w:numId w:val="31"/>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19296A84" w14:textId="29EB054A" w:rsidR="0097268B" w:rsidRDefault="0097268B" w:rsidP="0097268B">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In RAN2#127, the impacts on SSB periodicity extension and the cell-barred </w:t>
      </w:r>
      <w:r w:rsidR="00A45D2B">
        <w:rPr>
          <w:rStyle w:val="IvDbodytextChar"/>
          <w:rFonts w:ascii="Times New Roman" w:hAnsi="Times New Roman" w:cs="Times New Roman"/>
          <w:sz w:val="20"/>
          <w:szCs w:val="20"/>
          <w:lang w:eastAsia="zh-CN"/>
        </w:rPr>
        <w:t>issue</w:t>
      </w:r>
      <w:r>
        <w:rPr>
          <w:rStyle w:val="IvDbodytextChar"/>
          <w:rFonts w:ascii="Times New Roman" w:hAnsi="Times New Roman" w:cs="Times New Roman"/>
          <w:sz w:val="20"/>
          <w:szCs w:val="20"/>
          <w:lang w:eastAsia="zh-CN"/>
        </w:rPr>
        <w:t xml:space="preserve"> for DL coverage</w:t>
      </w:r>
      <w:r w:rsidR="00A45D2B">
        <w:rPr>
          <w:rStyle w:val="IvDbodytextChar"/>
          <w:rFonts w:ascii="Times New Roman" w:hAnsi="Times New Roman" w:cs="Times New Roman"/>
          <w:sz w:val="20"/>
          <w:szCs w:val="20"/>
          <w:lang w:eastAsia="zh-CN"/>
        </w:rPr>
        <w:t xml:space="preserve"> were discussed</w:t>
      </w:r>
      <w:r>
        <w:rPr>
          <w:rStyle w:val="IvDbodytextChar"/>
          <w:rFonts w:ascii="Times New Roman" w:hAnsi="Times New Roman" w:cs="Times New Roman"/>
          <w:sz w:val="20"/>
          <w:szCs w:val="20"/>
          <w:lang w:eastAsia="zh-CN"/>
        </w:rPr>
        <w:t xml:space="preserve">, </w:t>
      </w:r>
      <w:r w:rsidR="00A45D2B">
        <w:rPr>
          <w:rStyle w:val="IvDbodytextChar"/>
          <w:rFonts w:ascii="Times New Roman" w:hAnsi="Times New Roman" w:cs="Times New Roman"/>
          <w:sz w:val="20"/>
          <w:szCs w:val="20"/>
          <w:lang w:eastAsia="zh-CN"/>
        </w:rPr>
        <w:t xml:space="preserve">and </w:t>
      </w:r>
      <w:r>
        <w:rPr>
          <w:rStyle w:val="IvDbodytextChar"/>
          <w:rFonts w:ascii="Times New Roman" w:hAnsi="Times New Roman" w:cs="Times New Roman"/>
          <w:sz w:val="20"/>
          <w:szCs w:val="20"/>
          <w:lang w:eastAsia="zh-CN"/>
        </w:rPr>
        <w:t>the following agreements were made correspondingly</w:t>
      </w:r>
      <w:r w:rsidR="004A01C6">
        <w:rPr>
          <w:rStyle w:val="IvDbodytextChar"/>
          <w:rFonts w:ascii="Times New Roman" w:hAnsi="Times New Roman" w:cs="Times New Roman"/>
          <w:sz w:val="20"/>
          <w:szCs w:val="20"/>
          <w:lang w:eastAsia="zh-CN"/>
        </w:rPr>
        <w:t xml:space="preserve"> </w:t>
      </w:r>
      <w:bookmarkStart w:id="1" w:name="_GoBack"/>
      <w:bookmarkEnd w:id="1"/>
      <w:r w:rsidR="004A01C6">
        <w:rPr>
          <w:rStyle w:val="IvDbodytextChar"/>
          <w:rFonts w:ascii="Times New Roman" w:hAnsi="Times New Roman" w:cs="Times New Roman"/>
          <w:sz w:val="20"/>
          <w:szCs w:val="20"/>
          <w:lang w:eastAsia="zh-CN"/>
        </w:rPr>
        <w:t>[1]</w:t>
      </w:r>
      <w:r>
        <w:rPr>
          <w:rStyle w:val="IvDbodytextChar"/>
          <w:rFonts w:ascii="Times New Roman" w:hAnsi="Times New Roman" w:cs="Times New Roman"/>
          <w:sz w:val="20"/>
          <w:szCs w:val="20"/>
          <w:lang w:eastAsia="zh-CN"/>
        </w:rPr>
        <w:t>.</w:t>
      </w:r>
    </w:p>
    <w:tbl>
      <w:tblPr>
        <w:tblStyle w:val="af3"/>
        <w:tblW w:w="0" w:type="auto"/>
        <w:tblLook w:val="04A0" w:firstRow="1" w:lastRow="0" w:firstColumn="1" w:lastColumn="0" w:noHBand="0" w:noVBand="1"/>
      </w:tblPr>
      <w:tblGrid>
        <w:gridCol w:w="9629"/>
      </w:tblGrid>
      <w:tr w:rsidR="0097268B" w14:paraId="75B23C5D" w14:textId="77777777" w:rsidTr="0097268B">
        <w:tc>
          <w:tcPr>
            <w:tcW w:w="9629" w:type="dxa"/>
          </w:tcPr>
          <w:p w14:paraId="24985963" w14:textId="417E14D4" w:rsidR="0097268B" w:rsidRPr="0097268B" w:rsidRDefault="005547B7" w:rsidP="004A3D54">
            <w:pPr>
              <w:spacing w:beforeLines="50" w:before="120" w:afterLines="50" w:after="120" w:line="240" w:lineRule="auto"/>
              <w:jc w:val="both"/>
              <w:rPr>
                <w:rStyle w:val="IvDbodytextChar"/>
                <w:rFonts w:ascii="Times New Roman" w:hAnsi="Times New Roman" w:cs="Times New Roman"/>
                <w:b/>
                <w:bCs/>
                <w:sz w:val="20"/>
                <w:szCs w:val="20"/>
                <w:lang w:eastAsia="zh-CN"/>
              </w:rPr>
            </w:pPr>
            <w:r w:rsidRPr="002A2057">
              <w:rPr>
                <w:rStyle w:val="IvDbodytextChar"/>
                <w:rFonts w:ascii="Times New Roman" w:eastAsia="宋体" w:hAnsi="Times New Roman" w:cs="Times New Roman"/>
                <w:b/>
                <w:sz w:val="20"/>
                <w:szCs w:val="20"/>
                <w:highlight w:val="green"/>
                <w:lang w:eastAsia="zh-CN"/>
              </w:rPr>
              <w:t>RAN2#12</w:t>
            </w:r>
            <w:r>
              <w:rPr>
                <w:rStyle w:val="IvDbodytextChar"/>
                <w:rFonts w:ascii="Times New Roman" w:eastAsia="宋体" w:hAnsi="Times New Roman" w:cs="Times New Roman"/>
                <w:b/>
                <w:sz w:val="20"/>
                <w:szCs w:val="20"/>
                <w:highlight w:val="green"/>
                <w:lang w:eastAsia="zh-CN"/>
              </w:rPr>
              <w:t>7</w:t>
            </w:r>
            <w:r w:rsidRPr="002A2057">
              <w:rPr>
                <w:rStyle w:val="IvDbodytextChar"/>
                <w:rFonts w:ascii="Times New Roman" w:eastAsia="宋体" w:hAnsi="Times New Roman" w:cs="Times New Roman"/>
                <w:b/>
                <w:sz w:val="20"/>
                <w:szCs w:val="20"/>
                <w:highlight w:val="green"/>
                <w:lang w:eastAsia="zh-CN"/>
              </w:rPr>
              <w:t xml:space="preserve"> </w:t>
            </w:r>
            <w:r w:rsidRPr="002A2057">
              <w:rPr>
                <w:rStyle w:val="IvDbodytextChar"/>
                <w:rFonts w:ascii="Times New Roman" w:eastAsia="宋体" w:hAnsi="Times New Roman" w:cs="Times New Roman" w:hint="eastAsia"/>
                <w:b/>
                <w:sz w:val="20"/>
                <w:szCs w:val="20"/>
                <w:highlight w:val="green"/>
                <w:lang w:eastAsia="zh-CN"/>
              </w:rPr>
              <w:t>Agree</w:t>
            </w:r>
            <w:r w:rsidRPr="002A2057">
              <w:rPr>
                <w:rStyle w:val="IvDbodytextChar"/>
                <w:rFonts w:ascii="Times New Roman" w:eastAsia="宋体" w:hAnsi="Times New Roman" w:cs="Times New Roman"/>
                <w:b/>
                <w:sz w:val="20"/>
                <w:szCs w:val="20"/>
                <w:highlight w:val="green"/>
                <w:lang w:eastAsia="zh-CN"/>
              </w:rPr>
              <w:t>m</w:t>
            </w:r>
            <w:r w:rsidRPr="002A2057">
              <w:rPr>
                <w:rStyle w:val="IvDbodytextChar"/>
                <w:rFonts w:ascii="Times New Roman" w:eastAsia="宋体" w:hAnsi="Times New Roman"/>
                <w:b/>
                <w:sz w:val="20"/>
                <w:szCs w:val="20"/>
                <w:highlight w:val="green"/>
              </w:rPr>
              <w:t>ents:</w:t>
            </w:r>
          </w:p>
          <w:p w14:paraId="03A9DE5F" w14:textId="78020EF6" w:rsidR="0097268B" w:rsidRPr="009C0870" w:rsidRDefault="0097268B" w:rsidP="008D4BEA">
            <w:pPr>
              <w:pStyle w:val="afb"/>
              <w:numPr>
                <w:ilvl w:val="0"/>
                <w:numId w:val="33"/>
              </w:numPr>
              <w:spacing w:after="120" w:line="240" w:lineRule="auto"/>
              <w:ind w:left="357" w:hanging="357"/>
              <w:jc w:val="both"/>
              <w:rPr>
                <w:rStyle w:val="IvDbodytextChar"/>
                <w:rFonts w:ascii="Times New Roman" w:hAnsi="Times New Roman" w:cs="Times New Roman"/>
                <w:sz w:val="20"/>
                <w:szCs w:val="20"/>
                <w:lang w:eastAsia="zh-CN"/>
              </w:rPr>
            </w:pPr>
            <w:r w:rsidRPr="009C0870">
              <w:rPr>
                <w:rStyle w:val="IvDbodytextChar"/>
                <w:rFonts w:ascii="Times New Roman" w:hAnsi="Times New Roman" w:cs="Times New Roman"/>
                <w:sz w:val="20"/>
                <w:szCs w:val="20"/>
                <w:lang w:eastAsia="zh-CN"/>
              </w:rPr>
              <w:t>From RAN2 point of view, if the SSB periodicity is no larger than 160ms, there is no RAN2 impact on SSB configuration (there might still be impacts on DTX aspects)</w:t>
            </w:r>
            <w:r w:rsidR="00C14B3D">
              <w:rPr>
                <w:rStyle w:val="IvDbodytextChar"/>
                <w:rFonts w:ascii="Times New Roman" w:hAnsi="Times New Roman" w:cs="Times New Roman"/>
                <w:sz w:val="20"/>
                <w:szCs w:val="20"/>
                <w:lang w:eastAsia="zh-CN"/>
              </w:rPr>
              <w:t>.</w:t>
            </w:r>
          </w:p>
          <w:p w14:paraId="26C486DB" w14:textId="05D24874" w:rsidR="0097268B" w:rsidRPr="009C0870" w:rsidRDefault="0097268B" w:rsidP="008D4BEA">
            <w:pPr>
              <w:pStyle w:val="afb"/>
              <w:numPr>
                <w:ilvl w:val="0"/>
                <w:numId w:val="33"/>
              </w:numPr>
              <w:spacing w:after="120" w:line="240" w:lineRule="auto"/>
              <w:ind w:left="357" w:hanging="357"/>
              <w:jc w:val="both"/>
              <w:rPr>
                <w:rStyle w:val="IvDbodytextChar"/>
                <w:rFonts w:ascii="Times New Roman" w:hAnsi="Times New Roman" w:cs="Times New Roman"/>
                <w:sz w:val="20"/>
                <w:szCs w:val="20"/>
                <w:lang w:eastAsia="zh-CN"/>
              </w:rPr>
            </w:pPr>
            <w:r w:rsidRPr="009C0870">
              <w:rPr>
                <w:rStyle w:val="IvDbodytextChar"/>
                <w:rFonts w:ascii="Times New Roman" w:hAnsi="Times New Roman" w:cs="Times New Roman"/>
                <w:sz w:val="20"/>
                <w:szCs w:val="20"/>
                <w:lang w:eastAsia="zh-CN"/>
              </w:rPr>
              <w:t>From RAN2 point of view, If the SSB periodicity is larger than 160ms, for example ssb-PeriodicityServingCell, measurement gap periodicity, SMTC configuration, ssb-Periodicity-r17 for NonCellDefiningSSB-r17 may need to be extended. And the field description of nAndPagingFrameOffset may need to be enhanced to consider the SSB periodicity higher than 160ms.</w:t>
            </w:r>
          </w:p>
          <w:p w14:paraId="5C7636B4" w14:textId="5937C5E6" w:rsidR="0097268B" w:rsidRPr="009C0870" w:rsidRDefault="0097268B" w:rsidP="008D4BEA">
            <w:pPr>
              <w:pStyle w:val="afb"/>
              <w:numPr>
                <w:ilvl w:val="0"/>
                <w:numId w:val="33"/>
              </w:numPr>
              <w:spacing w:after="120" w:line="240" w:lineRule="auto"/>
              <w:ind w:left="357" w:hanging="357"/>
              <w:jc w:val="both"/>
              <w:rPr>
                <w:rStyle w:val="IvDbodytextChar"/>
                <w:rFonts w:ascii="Times New Roman" w:hAnsi="Times New Roman" w:cs="Times New Roman"/>
                <w:sz w:val="20"/>
                <w:szCs w:val="20"/>
                <w:lang w:eastAsia="zh-CN"/>
              </w:rPr>
            </w:pPr>
            <w:r w:rsidRPr="009C0870">
              <w:rPr>
                <w:rStyle w:val="IvDbodytextChar"/>
                <w:rFonts w:ascii="Times New Roman" w:hAnsi="Times New Roman" w:cs="Times New Roman"/>
                <w:sz w:val="20"/>
                <w:szCs w:val="20"/>
                <w:lang w:eastAsia="zh-CN"/>
              </w:rPr>
              <w:t>RAN2 can further consider SMTC impacts due to beam-hopping / larger SSB periodicity</w:t>
            </w:r>
            <w:r w:rsidR="00C14B3D">
              <w:rPr>
                <w:rStyle w:val="IvDbodytextChar"/>
                <w:rFonts w:ascii="Times New Roman" w:eastAsia="宋体" w:hAnsi="Times New Roman" w:cs="Times New Roman" w:hint="eastAsia"/>
                <w:sz w:val="20"/>
                <w:szCs w:val="20"/>
                <w:lang w:eastAsia="zh-CN"/>
              </w:rPr>
              <w:t>.</w:t>
            </w:r>
          </w:p>
          <w:p w14:paraId="01BAC8B3" w14:textId="35ECA42C" w:rsidR="0097268B" w:rsidRPr="009C0870" w:rsidRDefault="0097268B" w:rsidP="008D4BEA">
            <w:pPr>
              <w:pStyle w:val="afb"/>
              <w:numPr>
                <w:ilvl w:val="0"/>
                <w:numId w:val="33"/>
              </w:numPr>
              <w:spacing w:after="120" w:line="240" w:lineRule="auto"/>
              <w:ind w:left="357" w:hanging="357"/>
              <w:jc w:val="both"/>
              <w:rPr>
                <w:rStyle w:val="IvDbodytextChar"/>
                <w:rFonts w:ascii="Times New Roman" w:hAnsi="Times New Roman" w:cs="Times New Roman"/>
                <w:sz w:val="20"/>
                <w:szCs w:val="20"/>
                <w:lang w:eastAsia="zh-CN"/>
              </w:rPr>
            </w:pPr>
            <w:r w:rsidRPr="009C0870">
              <w:rPr>
                <w:rStyle w:val="IvDbodytextChar"/>
                <w:rFonts w:ascii="Times New Roman" w:hAnsi="Times New Roman" w:cs="Times New Roman"/>
                <w:sz w:val="20"/>
                <w:szCs w:val="20"/>
                <w:lang w:eastAsia="zh-CN"/>
              </w:rPr>
              <w:t>If there is a need to bar pre-Rel19 NTN UEs from accessing a cell operating with DL coverage enhancement (e.g. because of extreme SSB periodicity) the existing NTN bar bit can be used. FFS about the behaviour for Rel-19 UEs not supporting DL coverage enhancement when the existing NTN bar bit is set.</w:t>
            </w:r>
          </w:p>
        </w:tc>
      </w:tr>
    </w:tbl>
    <w:p w14:paraId="6822A23C" w14:textId="25A9C9F0" w:rsidR="00A45D2B" w:rsidRDefault="00A45D2B" w:rsidP="004B2784">
      <w:p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The decision on RAN2 impacts on SSB extension </w:t>
      </w:r>
      <w:r w:rsidR="0097268B">
        <w:rPr>
          <w:rStyle w:val="IvDbodytextChar"/>
          <w:rFonts w:ascii="Times New Roman" w:hAnsi="Times New Roman" w:cs="Times New Roman"/>
          <w:sz w:val="20"/>
          <w:szCs w:val="20"/>
          <w:lang w:eastAsia="zh-CN"/>
        </w:rPr>
        <w:t>depends on RAN1 progress, i.e., whether to extend the SSB periodicity larger than 160ms</w:t>
      </w:r>
      <w:r>
        <w:rPr>
          <w:rStyle w:val="IvDbodytextChar"/>
          <w:rFonts w:ascii="Times New Roman" w:hAnsi="Times New Roman" w:cs="Times New Roman"/>
          <w:sz w:val="20"/>
          <w:szCs w:val="20"/>
          <w:lang w:eastAsia="zh-CN"/>
        </w:rPr>
        <w:t xml:space="preserve">. Regarding the configuration/impacts of the DTX/DRX, even if RAN1 response LS [2] is received, no information can help RAN2 to progress the discussion. For the </w:t>
      </w:r>
      <w:r w:rsidR="00C11E72">
        <w:rPr>
          <w:rStyle w:val="IvDbodytextChar"/>
          <w:rFonts w:ascii="Times New Roman" w:hAnsi="Times New Roman" w:cs="Times New Roman"/>
          <w:sz w:val="20"/>
          <w:szCs w:val="20"/>
          <w:lang w:eastAsia="zh-CN"/>
        </w:rPr>
        <w:t>cell bar control</w:t>
      </w:r>
      <w:r>
        <w:rPr>
          <w:rStyle w:val="IvDbodytextChar"/>
          <w:rFonts w:ascii="Times New Roman" w:hAnsi="Times New Roman" w:cs="Times New Roman"/>
          <w:sz w:val="20"/>
          <w:szCs w:val="20"/>
          <w:lang w:eastAsia="zh-CN"/>
        </w:rPr>
        <w:t xml:space="preserve">, it is an RAN2 issue and the solution is still FFS for now. </w:t>
      </w:r>
    </w:p>
    <w:p w14:paraId="35B813D1" w14:textId="1650E307" w:rsidR="0097268B" w:rsidRDefault="00A45D2B" w:rsidP="00DA7081">
      <w:pPr>
        <w:adjustRightInd w:val="0"/>
        <w:snapToGrid w:val="0"/>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In the contribution, we focus on the </w:t>
      </w:r>
      <w:r w:rsidR="00C11E72">
        <w:rPr>
          <w:rStyle w:val="IvDbodytextChar"/>
          <w:rFonts w:ascii="Times New Roman" w:hAnsi="Times New Roman" w:cs="Times New Roman"/>
          <w:sz w:val="20"/>
          <w:szCs w:val="20"/>
          <w:lang w:eastAsia="zh-CN"/>
        </w:rPr>
        <w:t>cell bar control issue</w:t>
      </w:r>
      <w:r>
        <w:rPr>
          <w:rStyle w:val="IvDbodytextChar"/>
          <w:rFonts w:ascii="Times New Roman" w:hAnsi="Times New Roman" w:cs="Times New Roman"/>
          <w:sz w:val="20"/>
          <w:szCs w:val="20"/>
          <w:lang w:eastAsia="zh-CN"/>
        </w:rPr>
        <w:t xml:space="preserve"> for DL coverage enhancement. </w:t>
      </w:r>
    </w:p>
    <w:p w14:paraId="6E47FEB2" w14:textId="77777777" w:rsidR="003B118A" w:rsidRDefault="003B118A" w:rsidP="003B118A">
      <w:pPr>
        <w:pStyle w:val="1"/>
        <w:numPr>
          <w:ilvl w:val="0"/>
          <w:numId w:val="32"/>
        </w:numPr>
        <w:tabs>
          <w:tab w:val="left" w:pos="852"/>
        </w:tabs>
        <w:overflowPunct w:val="0"/>
        <w:autoSpaceDE w:val="0"/>
        <w:autoSpaceDN w:val="0"/>
        <w:adjustRightInd w:val="0"/>
        <w:spacing w:after="120" w:line="240" w:lineRule="auto"/>
        <w:textAlignment w:val="baseline"/>
      </w:pPr>
      <w:r>
        <w:t>Discussion</w:t>
      </w:r>
    </w:p>
    <w:p w14:paraId="22E68B46" w14:textId="4A1ADB5E" w:rsidR="008D32F1" w:rsidRDefault="003D2C48" w:rsidP="00F74E1B">
      <w:pPr>
        <w:spacing w:after="120" w:line="240" w:lineRule="auto"/>
        <w:jc w:val="both"/>
      </w:pPr>
      <w:r>
        <w:t>T</w:t>
      </w:r>
      <w:r w:rsidR="00BD4E1D">
        <w:t xml:space="preserve">he SSB periodicity </w:t>
      </w:r>
      <w:r w:rsidR="00393AFE" w:rsidRPr="00393AFE">
        <w:rPr>
          <w:rFonts w:hint="eastAsia"/>
        </w:rPr>
        <w:t>may</w:t>
      </w:r>
      <w:r w:rsidR="00BD4E1D">
        <w:t xml:space="preserve"> be extended</w:t>
      </w:r>
      <w:r>
        <w:t xml:space="preserve"> to support the dynamic power sharing in the NR-NTN network</w:t>
      </w:r>
      <w:r w:rsidR="00BD4E1D">
        <w:t xml:space="preserve">. </w:t>
      </w:r>
      <w:r>
        <w:t>However, e</w:t>
      </w:r>
      <w:r w:rsidR="00BD4E1D">
        <w:t xml:space="preserve">xtending the SSB periodicity </w:t>
      </w:r>
      <w:r>
        <w:t>may</w:t>
      </w:r>
      <w:r w:rsidR="00BD4E1D">
        <w:t xml:space="preserve"> have </w:t>
      </w:r>
      <w:r w:rsidR="008D32F1">
        <w:t xml:space="preserve">some </w:t>
      </w:r>
      <w:r w:rsidR="00BD4E1D">
        <w:t>impacts on legacy UEs or R19 UEs not supporting the feature</w:t>
      </w:r>
      <w:r w:rsidR="008D32F1">
        <w:t>:</w:t>
      </w:r>
    </w:p>
    <w:p w14:paraId="633CFCD6" w14:textId="50A95C0A" w:rsidR="008D32F1" w:rsidRPr="008D32F1" w:rsidRDefault="00BD4E1D" w:rsidP="008D32F1">
      <w:pPr>
        <w:pStyle w:val="afb"/>
        <w:numPr>
          <w:ilvl w:val="0"/>
          <w:numId w:val="30"/>
        </w:numPr>
        <w:spacing w:after="120" w:line="240" w:lineRule="auto"/>
        <w:jc w:val="both"/>
        <w:rPr>
          <w:rFonts w:ascii="Times New Roman" w:hAnsi="Times New Roman" w:cs="Times New Roman"/>
        </w:rPr>
      </w:pPr>
      <w:r w:rsidRPr="008D32F1">
        <w:rPr>
          <w:rFonts w:ascii="Times New Roman" w:hAnsi="Times New Roman" w:cs="Times New Roman"/>
        </w:rPr>
        <w:t>legacy UE may not understand the extended SMTC/gap configuration and the extended SSB periodicity configuration</w:t>
      </w:r>
      <w:r w:rsidR="008D32F1" w:rsidRPr="008D32F1">
        <w:rPr>
          <w:rFonts w:ascii="Times New Roman" w:hAnsi="Times New Roman" w:cs="Times New Roman"/>
        </w:rPr>
        <w:t>;</w:t>
      </w:r>
    </w:p>
    <w:p w14:paraId="18437891" w14:textId="7AACD84B" w:rsidR="00BD4E1D" w:rsidRDefault="008D32F1" w:rsidP="008D32F1">
      <w:pPr>
        <w:pStyle w:val="afb"/>
        <w:numPr>
          <w:ilvl w:val="0"/>
          <w:numId w:val="30"/>
        </w:numPr>
        <w:spacing w:after="120" w:line="240" w:lineRule="auto"/>
        <w:jc w:val="both"/>
        <w:rPr>
          <w:rFonts w:ascii="Times New Roman" w:hAnsi="Times New Roman" w:cs="Times New Roman"/>
        </w:rPr>
      </w:pPr>
      <w:r>
        <w:rPr>
          <w:rFonts w:ascii="Times New Roman" w:hAnsi="Times New Roman" w:cs="Times New Roman"/>
        </w:rPr>
        <w:t xml:space="preserve">legacy UEs and </w:t>
      </w:r>
      <w:r w:rsidR="00BD4E1D" w:rsidRPr="008D32F1">
        <w:rPr>
          <w:rFonts w:ascii="Times New Roman" w:hAnsi="Times New Roman" w:cs="Times New Roman"/>
        </w:rPr>
        <w:t xml:space="preserve">R19 UEs not supporting the SSB extension may continuously perform RLM even if there is no SSB </w:t>
      </w:r>
      <w:r w:rsidR="00305D32" w:rsidRPr="008D32F1">
        <w:rPr>
          <w:rFonts w:ascii="Times New Roman" w:hAnsi="Times New Roman" w:cs="Times New Roman"/>
        </w:rPr>
        <w:t xml:space="preserve">transmission, which may result in frequent RLF. </w:t>
      </w:r>
    </w:p>
    <w:p w14:paraId="53F2AE1B" w14:textId="2FC24C7B" w:rsidR="008D32F1" w:rsidRPr="008D32F1" w:rsidRDefault="005021D2" w:rsidP="008D32F1">
      <w:pPr>
        <w:pStyle w:val="afb"/>
        <w:numPr>
          <w:ilvl w:val="0"/>
          <w:numId w:val="30"/>
        </w:numPr>
        <w:spacing w:after="120" w:line="240" w:lineRule="auto"/>
        <w:jc w:val="both"/>
        <w:rPr>
          <w:rFonts w:ascii="Times New Roman" w:hAnsi="Times New Roman" w:cs="Times New Roman"/>
        </w:rPr>
      </w:pPr>
      <w:r>
        <w:rPr>
          <w:rFonts w:ascii="Times New Roman" w:hAnsi="Times New Roman" w:cs="Times New Roman"/>
        </w:rPr>
        <w:t xml:space="preserve">Legacy UEs and R19 UEs not supporting the SSB extension may monitor all PDCCH monitoring occasions in each paging occasion, even though there is no paging message due to the extended SSB periodicity. </w:t>
      </w:r>
    </w:p>
    <w:p w14:paraId="4A7A6ACC" w14:textId="46DF780C" w:rsidR="009D5B55" w:rsidRPr="003D2C48" w:rsidRDefault="009D5B55" w:rsidP="00C11E72">
      <w:pPr>
        <w:spacing w:after="240" w:line="240" w:lineRule="auto"/>
        <w:jc w:val="both"/>
        <w:rPr>
          <w:b/>
          <w:bCs/>
        </w:rPr>
      </w:pPr>
      <w:r w:rsidRPr="003D2C48">
        <w:rPr>
          <w:b/>
          <w:bCs/>
        </w:rPr>
        <w:t xml:space="preserve">Observation: Legacy UE and R19 UE not </w:t>
      </w:r>
      <w:r w:rsidR="003D2C48" w:rsidRPr="003D2C48">
        <w:rPr>
          <w:b/>
          <w:bCs/>
        </w:rPr>
        <w:t>supporting</w:t>
      </w:r>
      <w:r w:rsidRPr="003D2C48">
        <w:rPr>
          <w:b/>
          <w:bCs/>
        </w:rPr>
        <w:t xml:space="preserve"> </w:t>
      </w:r>
      <w:r w:rsidR="00671A2F">
        <w:rPr>
          <w:b/>
          <w:bCs/>
        </w:rPr>
        <w:t xml:space="preserve">the </w:t>
      </w:r>
      <w:r w:rsidRPr="003D2C48">
        <w:rPr>
          <w:b/>
          <w:bCs/>
        </w:rPr>
        <w:t xml:space="preserve">SSB </w:t>
      </w:r>
      <w:r w:rsidR="00671A2F">
        <w:rPr>
          <w:b/>
          <w:bCs/>
        </w:rPr>
        <w:t xml:space="preserve">periodicity </w:t>
      </w:r>
      <w:r w:rsidRPr="003D2C48">
        <w:rPr>
          <w:b/>
          <w:bCs/>
        </w:rPr>
        <w:t xml:space="preserve">extension </w:t>
      </w:r>
      <w:r w:rsidR="003D2C48" w:rsidRPr="003D2C48">
        <w:rPr>
          <w:b/>
          <w:bCs/>
        </w:rPr>
        <w:t>cannot work well in the cell with SSB periodicity extension.</w:t>
      </w:r>
    </w:p>
    <w:p w14:paraId="4C23DD2E" w14:textId="46D0952E" w:rsidR="00CD31CB" w:rsidRDefault="00671A2F" w:rsidP="00BE0597">
      <w:pPr>
        <w:spacing w:after="120" w:line="240" w:lineRule="auto"/>
        <w:jc w:val="both"/>
      </w:pPr>
      <w:r>
        <w:t>To avoid such an issue, the legacy UEs and the R19 UEs not supporting the SSB periodicity extension should not be allowed to access the cell with SSB periodicity extension</w:t>
      </w:r>
      <w:r w:rsidR="00CD31CB">
        <w:t xml:space="preserve"> </w:t>
      </w:r>
      <w:r w:rsidR="001F612F">
        <w:t>via the cell barred mechanism</w:t>
      </w:r>
      <w:r w:rsidR="00CD31CB">
        <w:t>, i.e.,</w:t>
      </w:r>
      <w:r w:rsidR="001F612F">
        <w:t xml:space="preserve"> </w:t>
      </w:r>
      <w:r w:rsidR="00CD31CB">
        <w:t xml:space="preserve">the network </w:t>
      </w:r>
      <w:r w:rsidR="00256A28">
        <w:t xml:space="preserve">with SSB periodicity extension </w:t>
      </w:r>
      <w:r w:rsidR="00CD31CB">
        <w:t xml:space="preserve">can </w:t>
      </w:r>
      <w:r w:rsidR="00256A28">
        <w:t>use the</w:t>
      </w:r>
      <w:r w:rsidR="00CD31CB">
        <w:t xml:space="preserve"> legacy cell barred indication (</w:t>
      </w:r>
      <w:r w:rsidR="00CD31CB" w:rsidRPr="002D3917">
        <w:rPr>
          <w:i/>
        </w:rPr>
        <w:t>cellBarredNTN</w:t>
      </w:r>
      <w:r w:rsidR="00CD31CB">
        <w:rPr>
          <w:i/>
        </w:rPr>
        <w:t xml:space="preserve"> </w:t>
      </w:r>
      <w:r w:rsidR="00CD31CB">
        <w:rPr>
          <w:iCs/>
        </w:rPr>
        <w:t>is set t</w:t>
      </w:r>
      <w:r w:rsidR="00CD31CB" w:rsidRPr="00CD31CB">
        <w:rPr>
          <w:iCs/>
        </w:rPr>
        <w:t xml:space="preserve">o </w:t>
      </w:r>
      <w:r w:rsidR="00CD31CB">
        <w:rPr>
          <w:i/>
        </w:rPr>
        <w:t>barred</w:t>
      </w:r>
      <w:r w:rsidR="00CD31CB">
        <w:t>) to bar the legacy UEs and the R19 UEs not supporting the SSB periodicity extension.</w:t>
      </w:r>
      <w:r w:rsidR="00256A28">
        <w:t xml:space="preserve"> </w:t>
      </w:r>
    </w:p>
    <w:p w14:paraId="3440C422" w14:textId="1212E6EF" w:rsidR="00ED142D" w:rsidRDefault="00350C08" w:rsidP="00BE0597">
      <w:pPr>
        <w:spacing w:after="120" w:line="240" w:lineRule="auto"/>
        <w:jc w:val="both"/>
      </w:pPr>
      <w:r>
        <w:t xml:space="preserve">However, for the R19 UEs supporting the SSB extension, it is still unclear whether the cell with SSB extension can be accessed or not. </w:t>
      </w:r>
      <w:proofErr w:type="gramStart"/>
      <w:r>
        <w:t>Thus</w:t>
      </w:r>
      <w:proofErr w:type="gramEnd"/>
      <w:r>
        <w:t xml:space="preserve"> a new R19 cell barred indication for SSB extension </w:t>
      </w:r>
      <w:r w:rsidR="006E0580">
        <w:t xml:space="preserve">should </w:t>
      </w:r>
      <w:r>
        <w:t xml:space="preserve">be introduced. </w:t>
      </w:r>
      <w:r w:rsidR="0099671A">
        <w:t xml:space="preserve">A cell with SSB periodicity extension always includes the </w:t>
      </w:r>
      <w:r>
        <w:t>R19 cell barred indication</w:t>
      </w:r>
      <w:r w:rsidR="0099671A">
        <w:t>, t</w:t>
      </w:r>
      <w:r>
        <w:t xml:space="preserve">he R19 UEs supporting the SSB periodicity should </w:t>
      </w:r>
      <w:r>
        <w:lastRenderedPageBreak/>
        <w:t>ignore the legacy cell barred indication</w:t>
      </w:r>
      <w:r w:rsidR="00FE7612">
        <w:t xml:space="preserve"> and decide whether the cell can be accessed based on the value of the R19 cell barred indication. </w:t>
      </w:r>
    </w:p>
    <w:p w14:paraId="0E49A78D" w14:textId="6D0EEFFD" w:rsidR="00FE7612" w:rsidRDefault="00FE7612" w:rsidP="00BE0597">
      <w:pPr>
        <w:spacing w:after="120" w:line="240" w:lineRule="auto"/>
        <w:jc w:val="both"/>
      </w:pPr>
      <w:r>
        <w:t xml:space="preserve">The following are </w:t>
      </w:r>
      <w:r w:rsidR="00B5054B">
        <w:t xml:space="preserve">summarized </w:t>
      </w:r>
      <w:r>
        <w:t xml:space="preserve">UE behaviours </w:t>
      </w:r>
      <w:r w:rsidR="00B5054B">
        <w:t xml:space="preserve">when accessing </w:t>
      </w:r>
      <w:r w:rsidR="006E0580">
        <w:t>an</w:t>
      </w:r>
      <w:r w:rsidR="00B5054B">
        <w:t xml:space="preserve"> </w:t>
      </w:r>
      <w:r w:rsidR="00ED142D">
        <w:t xml:space="preserve">NTN </w:t>
      </w:r>
      <w:r w:rsidR="00B5054B">
        <w:t>cell with SSB extension</w:t>
      </w:r>
      <w:r>
        <w:t>.</w:t>
      </w:r>
    </w:p>
    <w:tbl>
      <w:tblPr>
        <w:tblStyle w:val="af3"/>
        <w:tblW w:w="9634" w:type="dxa"/>
        <w:tblLook w:val="04A0" w:firstRow="1" w:lastRow="0" w:firstColumn="1" w:lastColumn="0" w:noHBand="0" w:noVBand="1"/>
      </w:tblPr>
      <w:tblGrid>
        <w:gridCol w:w="2689"/>
        <w:gridCol w:w="1842"/>
        <w:gridCol w:w="2268"/>
        <w:gridCol w:w="2835"/>
      </w:tblGrid>
      <w:tr w:rsidR="00C40999" w14:paraId="5BF735F4" w14:textId="77777777" w:rsidTr="00ED142D">
        <w:tc>
          <w:tcPr>
            <w:tcW w:w="2689" w:type="dxa"/>
          </w:tcPr>
          <w:p w14:paraId="3677FEFC" w14:textId="6B56EFE7" w:rsidR="00C40999" w:rsidRDefault="00C40999" w:rsidP="00350C08">
            <w:pPr>
              <w:spacing w:after="120" w:line="240" w:lineRule="auto"/>
              <w:jc w:val="both"/>
            </w:pPr>
            <w:r>
              <w:t>Cell access for NTN</w:t>
            </w:r>
          </w:p>
        </w:tc>
        <w:tc>
          <w:tcPr>
            <w:tcW w:w="1842" w:type="dxa"/>
          </w:tcPr>
          <w:p w14:paraId="36881FA4" w14:textId="7DC4B884" w:rsidR="00C40999" w:rsidRDefault="00ED142D" w:rsidP="00350C08">
            <w:pPr>
              <w:spacing w:after="120" w:line="240" w:lineRule="auto"/>
              <w:jc w:val="both"/>
            </w:pPr>
            <w:r>
              <w:t>cellBarred</w:t>
            </w:r>
          </w:p>
        </w:tc>
        <w:tc>
          <w:tcPr>
            <w:tcW w:w="2268" w:type="dxa"/>
          </w:tcPr>
          <w:p w14:paraId="5C9D3DBB" w14:textId="0B076A5D" w:rsidR="00C40999" w:rsidRDefault="00C40999" w:rsidP="00350C08">
            <w:pPr>
              <w:spacing w:after="120" w:line="240" w:lineRule="auto"/>
              <w:jc w:val="both"/>
            </w:pPr>
            <w:r>
              <w:t>cellBarredNTN=barred</w:t>
            </w:r>
          </w:p>
        </w:tc>
        <w:tc>
          <w:tcPr>
            <w:tcW w:w="2835" w:type="dxa"/>
          </w:tcPr>
          <w:p w14:paraId="175611D7" w14:textId="779C54A0" w:rsidR="00C40999" w:rsidRDefault="00C40999" w:rsidP="00350C08">
            <w:pPr>
              <w:spacing w:after="120" w:line="240" w:lineRule="auto"/>
              <w:jc w:val="both"/>
            </w:pPr>
            <w:r>
              <w:t>R19 cellBarred for SSB extension is present</w:t>
            </w:r>
          </w:p>
        </w:tc>
      </w:tr>
      <w:tr w:rsidR="00C40999" w14:paraId="5E079658" w14:textId="77777777" w:rsidTr="00ED142D">
        <w:tc>
          <w:tcPr>
            <w:tcW w:w="2689" w:type="dxa"/>
          </w:tcPr>
          <w:p w14:paraId="35DDAB1B" w14:textId="43362B4A" w:rsidR="00C40999" w:rsidRDefault="00C40999" w:rsidP="00350C08">
            <w:pPr>
              <w:spacing w:after="120" w:line="240" w:lineRule="auto"/>
              <w:jc w:val="both"/>
            </w:pPr>
            <w:r>
              <w:t xml:space="preserve">Legacy </w:t>
            </w:r>
            <w:r w:rsidR="006E0580">
              <w:t>NTN-capable</w:t>
            </w:r>
            <w:r>
              <w:t xml:space="preserve"> UEs </w:t>
            </w:r>
          </w:p>
        </w:tc>
        <w:tc>
          <w:tcPr>
            <w:tcW w:w="1842" w:type="dxa"/>
          </w:tcPr>
          <w:p w14:paraId="77983FAD" w14:textId="4EF351D8" w:rsidR="00C40999" w:rsidRDefault="00ED142D" w:rsidP="00350C08">
            <w:pPr>
              <w:spacing w:after="120" w:line="240" w:lineRule="auto"/>
              <w:jc w:val="both"/>
            </w:pPr>
            <w:r>
              <w:t>Ignore</w:t>
            </w:r>
          </w:p>
        </w:tc>
        <w:tc>
          <w:tcPr>
            <w:tcW w:w="2268" w:type="dxa"/>
          </w:tcPr>
          <w:p w14:paraId="78DEEDFE" w14:textId="2FABFD9F" w:rsidR="00C40999" w:rsidRDefault="00C40999" w:rsidP="00350C08">
            <w:pPr>
              <w:spacing w:after="120" w:line="240" w:lineRule="auto"/>
              <w:jc w:val="both"/>
            </w:pPr>
            <w:r>
              <w:t>access is not allowed;</w:t>
            </w:r>
          </w:p>
        </w:tc>
        <w:tc>
          <w:tcPr>
            <w:tcW w:w="2835" w:type="dxa"/>
          </w:tcPr>
          <w:p w14:paraId="1B5D1BFE" w14:textId="1515E586" w:rsidR="00C40999" w:rsidRDefault="00C40999" w:rsidP="00350C08">
            <w:pPr>
              <w:spacing w:after="120" w:line="240" w:lineRule="auto"/>
              <w:jc w:val="both"/>
            </w:pPr>
            <w:r>
              <w:t>N/A</w:t>
            </w:r>
          </w:p>
        </w:tc>
      </w:tr>
      <w:tr w:rsidR="00C40999" w14:paraId="0BD05C44" w14:textId="77777777" w:rsidTr="00ED142D">
        <w:tc>
          <w:tcPr>
            <w:tcW w:w="2689" w:type="dxa"/>
          </w:tcPr>
          <w:p w14:paraId="641F9B36" w14:textId="35842CAF" w:rsidR="00C40999" w:rsidRDefault="00C40999" w:rsidP="00C40999">
            <w:pPr>
              <w:spacing w:after="120" w:line="240" w:lineRule="auto"/>
              <w:jc w:val="both"/>
            </w:pPr>
            <w:r>
              <w:t>R19 NTN</w:t>
            </w:r>
            <w:r w:rsidR="006E0580">
              <w:t>-</w:t>
            </w:r>
            <w:r>
              <w:t>capable UEs not supporting the SSB periodicity</w:t>
            </w:r>
          </w:p>
        </w:tc>
        <w:tc>
          <w:tcPr>
            <w:tcW w:w="1842" w:type="dxa"/>
          </w:tcPr>
          <w:p w14:paraId="0D3996CD" w14:textId="5806B2C0" w:rsidR="00C40999" w:rsidRDefault="00ED142D" w:rsidP="00C40999">
            <w:pPr>
              <w:spacing w:after="120" w:line="240" w:lineRule="auto"/>
              <w:jc w:val="both"/>
            </w:pPr>
            <w:r>
              <w:t>Ignore</w:t>
            </w:r>
          </w:p>
        </w:tc>
        <w:tc>
          <w:tcPr>
            <w:tcW w:w="2268" w:type="dxa"/>
          </w:tcPr>
          <w:p w14:paraId="29882316" w14:textId="40AA7C74" w:rsidR="00C40999" w:rsidRDefault="00C40999" w:rsidP="00C40999">
            <w:pPr>
              <w:spacing w:after="120" w:line="240" w:lineRule="auto"/>
              <w:jc w:val="both"/>
            </w:pPr>
            <w:r>
              <w:t>access is not allowed;</w:t>
            </w:r>
          </w:p>
        </w:tc>
        <w:tc>
          <w:tcPr>
            <w:tcW w:w="2835" w:type="dxa"/>
          </w:tcPr>
          <w:p w14:paraId="66B6BF28" w14:textId="57030DF9" w:rsidR="00C40999" w:rsidRDefault="00ED142D" w:rsidP="00C40999">
            <w:pPr>
              <w:spacing w:after="120" w:line="240" w:lineRule="auto"/>
              <w:jc w:val="both"/>
            </w:pPr>
            <w:r>
              <w:t>N/A</w:t>
            </w:r>
          </w:p>
        </w:tc>
      </w:tr>
      <w:tr w:rsidR="00C40999" w14:paraId="0F871C8B" w14:textId="77777777" w:rsidTr="00ED142D">
        <w:tc>
          <w:tcPr>
            <w:tcW w:w="2689" w:type="dxa"/>
          </w:tcPr>
          <w:p w14:paraId="22A36F06" w14:textId="4E522FA0" w:rsidR="00C40999" w:rsidRDefault="00C40999" w:rsidP="00C40999">
            <w:pPr>
              <w:spacing w:after="120" w:line="240" w:lineRule="auto"/>
              <w:jc w:val="both"/>
            </w:pPr>
            <w:r>
              <w:t>R19</w:t>
            </w:r>
            <w:r w:rsidR="006E0580">
              <w:t xml:space="preserve"> </w:t>
            </w:r>
            <w:r>
              <w:t>NTN</w:t>
            </w:r>
            <w:r w:rsidR="006E0580">
              <w:t>-</w:t>
            </w:r>
            <w:r>
              <w:t>capable</w:t>
            </w:r>
            <w:r w:rsidR="006E0580">
              <w:t xml:space="preserve"> </w:t>
            </w:r>
            <w:r>
              <w:t>UEs</w:t>
            </w:r>
            <w:r w:rsidR="006E0580">
              <w:t xml:space="preserve"> </w:t>
            </w:r>
            <w:r>
              <w:t>supporting the SSB periodicity</w:t>
            </w:r>
          </w:p>
        </w:tc>
        <w:tc>
          <w:tcPr>
            <w:tcW w:w="1842" w:type="dxa"/>
          </w:tcPr>
          <w:p w14:paraId="3C663A18" w14:textId="2C5AAEA6" w:rsidR="00C40999" w:rsidRDefault="00ED142D" w:rsidP="00C40999">
            <w:pPr>
              <w:spacing w:after="120" w:line="240" w:lineRule="auto"/>
              <w:jc w:val="both"/>
            </w:pPr>
            <w:r>
              <w:t>Ignore</w:t>
            </w:r>
          </w:p>
        </w:tc>
        <w:tc>
          <w:tcPr>
            <w:tcW w:w="2268" w:type="dxa"/>
          </w:tcPr>
          <w:p w14:paraId="21EEE53D" w14:textId="22DD9E78" w:rsidR="00C40999" w:rsidRDefault="00ED142D" w:rsidP="00C40999">
            <w:pPr>
              <w:spacing w:after="120" w:line="240" w:lineRule="auto"/>
              <w:jc w:val="both"/>
            </w:pPr>
            <w:r>
              <w:t>Ignore</w:t>
            </w:r>
          </w:p>
        </w:tc>
        <w:tc>
          <w:tcPr>
            <w:tcW w:w="2835" w:type="dxa"/>
          </w:tcPr>
          <w:p w14:paraId="0BE69BE2" w14:textId="595F7D0E" w:rsidR="00C40999" w:rsidRDefault="00C40999" w:rsidP="00C40999">
            <w:pPr>
              <w:spacing w:after="120" w:line="240" w:lineRule="auto"/>
              <w:jc w:val="both"/>
            </w:pPr>
            <w:r>
              <w:t>If set to barred, UE is not allowed to access;</w:t>
            </w:r>
          </w:p>
          <w:p w14:paraId="64DD0EA1" w14:textId="6C375D17" w:rsidR="00C40999" w:rsidRDefault="00C40999" w:rsidP="00C40999">
            <w:pPr>
              <w:spacing w:after="120" w:line="240" w:lineRule="auto"/>
              <w:jc w:val="both"/>
            </w:pPr>
            <w:r>
              <w:t>If set to notBarred, UE is allowed to access.</w:t>
            </w:r>
          </w:p>
        </w:tc>
      </w:tr>
    </w:tbl>
    <w:p w14:paraId="5EA96EB0" w14:textId="3ACCC3BF" w:rsidR="0099671A" w:rsidRPr="0099671A" w:rsidRDefault="0099671A" w:rsidP="001B4D93">
      <w:pPr>
        <w:spacing w:before="120" w:after="120" w:line="240" w:lineRule="auto"/>
        <w:jc w:val="both"/>
        <w:rPr>
          <w:b/>
          <w:bCs/>
        </w:rPr>
      </w:pPr>
      <w:r w:rsidRPr="0099671A">
        <w:rPr>
          <w:b/>
          <w:bCs/>
        </w:rPr>
        <w:t xml:space="preserve">Proposal </w:t>
      </w:r>
      <w:r w:rsidR="00C11E72">
        <w:rPr>
          <w:b/>
          <w:bCs/>
        </w:rPr>
        <w:t>1</w:t>
      </w:r>
      <w:r w:rsidRPr="0099671A">
        <w:rPr>
          <w:b/>
          <w:bCs/>
        </w:rPr>
        <w:t xml:space="preserve">: </w:t>
      </w:r>
      <w:r>
        <w:rPr>
          <w:b/>
          <w:bCs/>
        </w:rPr>
        <w:t>Introduce a R19 cell barred indication for SSB periodicity extension in SIB1</w:t>
      </w:r>
      <w:r w:rsidR="00955F73">
        <w:rPr>
          <w:b/>
          <w:bCs/>
        </w:rPr>
        <w:t xml:space="preserve"> if RAN1 agrees to extend the SSB periodicity</w:t>
      </w:r>
      <w:r>
        <w:rPr>
          <w:b/>
          <w:bCs/>
        </w:rPr>
        <w:t>.</w:t>
      </w:r>
    </w:p>
    <w:p w14:paraId="18F20A56" w14:textId="11B68C47" w:rsidR="00C11E72" w:rsidRPr="00256A28" w:rsidRDefault="00C11E72" w:rsidP="001B4D93">
      <w:pPr>
        <w:spacing w:after="120" w:line="240" w:lineRule="auto"/>
        <w:jc w:val="both"/>
        <w:rPr>
          <w:b/>
          <w:bCs/>
        </w:rPr>
      </w:pPr>
      <w:r w:rsidRPr="00256A28">
        <w:rPr>
          <w:b/>
          <w:bCs/>
        </w:rPr>
        <w:t xml:space="preserve">Proposal </w:t>
      </w:r>
      <w:r>
        <w:rPr>
          <w:b/>
          <w:bCs/>
        </w:rPr>
        <w:t>2</w:t>
      </w:r>
      <w:r w:rsidRPr="00256A28">
        <w:rPr>
          <w:b/>
          <w:bCs/>
        </w:rPr>
        <w:t xml:space="preserve">: R19 UEs not supporting the SSB extension can be barred </w:t>
      </w:r>
      <w:r>
        <w:rPr>
          <w:b/>
          <w:bCs/>
        </w:rPr>
        <w:t xml:space="preserve">from accessing the NTN cells with SSB periodicity extension </w:t>
      </w:r>
      <w:r w:rsidRPr="00256A28">
        <w:rPr>
          <w:b/>
          <w:bCs/>
        </w:rPr>
        <w:t xml:space="preserve">by the legacy </w:t>
      </w:r>
      <w:r>
        <w:rPr>
          <w:b/>
          <w:bCs/>
        </w:rPr>
        <w:t xml:space="preserve">NTN </w:t>
      </w:r>
      <w:r w:rsidRPr="00256A28">
        <w:rPr>
          <w:b/>
          <w:bCs/>
        </w:rPr>
        <w:t>cell barred indication.</w:t>
      </w:r>
    </w:p>
    <w:p w14:paraId="06A812CE" w14:textId="34714D9B" w:rsidR="00256A28" w:rsidRPr="0099671A" w:rsidRDefault="0099671A" w:rsidP="001B4D93">
      <w:pPr>
        <w:spacing w:after="0" w:line="240" w:lineRule="auto"/>
        <w:jc w:val="both"/>
        <w:rPr>
          <w:b/>
          <w:bCs/>
        </w:rPr>
      </w:pPr>
      <w:r w:rsidRPr="0099671A">
        <w:rPr>
          <w:b/>
          <w:bCs/>
        </w:rPr>
        <w:t>Proposal 3: For R19 UEs supporting the SSB periodicity extension, the UE shall:</w:t>
      </w:r>
    </w:p>
    <w:p w14:paraId="01AD6628" w14:textId="345C0634" w:rsidR="0099671A" w:rsidRDefault="0099671A" w:rsidP="001B4D93">
      <w:pPr>
        <w:spacing w:after="0" w:line="240" w:lineRule="auto"/>
        <w:rPr>
          <w:b/>
          <w:bCs/>
        </w:rPr>
      </w:pPr>
      <w:r>
        <w:rPr>
          <w:rFonts w:hint="eastAsia"/>
          <w:b/>
          <w:bCs/>
        </w:rPr>
        <w:t>-</w:t>
      </w:r>
      <w:r>
        <w:rPr>
          <w:b/>
          <w:bCs/>
        </w:rPr>
        <w:t xml:space="preserve"> follow the legacy </w:t>
      </w:r>
      <w:r w:rsidRPr="00DF31E2">
        <w:rPr>
          <w:b/>
          <w:bCs/>
          <w:i/>
          <w:iCs/>
        </w:rPr>
        <w:t>cellBarred</w:t>
      </w:r>
      <w:r w:rsidRPr="00DD794A">
        <w:rPr>
          <w:b/>
          <w:bCs/>
        </w:rPr>
        <w:t xml:space="preserve"> and </w:t>
      </w:r>
      <w:r w:rsidRPr="00DF31E2">
        <w:rPr>
          <w:b/>
          <w:bCs/>
          <w:i/>
          <w:iCs/>
        </w:rPr>
        <w:t>cellBarredNTN</w:t>
      </w:r>
      <w:r>
        <w:rPr>
          <w:b/>
          <w:bCs/>
        </w:rPr>
        <w:t xml:space="preserve"> indication if the R19 cell barred indication is not present;</w:t>
      </w:r>
    </w:p>
    <w:p w14:paraId="7434AB79" w14:textId="23303C43" w:rsidR="0099671A" w:rsidRDefault="0099671A" w:rsidP="001B4D93">
      <w:pPr>
        <w:spacing w:after="0" w:line="240" w:lineRule="auto"/>
        <w:rPr>
          <w:b/>
          <w:bCs/>
        </w:rPr>
      </w:pPr>
      <w:r>
        <w:rPr>
          <w:rFonts w:hint="eastAsia"/>
          <w:b/>
          <w:bCs/>
        </w:rPr>
        <w:t>-</w:t>
      </w:r>
      <w:r>
        <w:rPr>
          <w:b/>
          <w:bCs/>
        </w:rPr>
        <w:t xml:space="preserve"> </w:t>
      </w:r>
      <w:r w:rsidRPr="00BF2C91">
        <w:rPr>
          <w:b/>
          <w:bCs/>
        </w:rPr>
        <w:t>consider the cell is not allowed</w:t>
      </w:r>
      <w:r>
        <w:rPr>
          <w:b/>
          <w:bCs/>
        </w:rPr>
        <w:t xml:space="preserve"> for </w:t>
      </w:r>
      <w:r w:rsidR="003114AA" w:rsidRPr="003114AA">
        <w:rPr>
          <w:b/>
          <w:bCs/>
        </w:rPr>
        <w:t>access</w:t>
      </w:r>
      <w:r>
        <w:rPr>
          <w:b/>
          <w:bCs/>
        </w:rPr>
        <w:t xml:space="preserve"> if the R19 cell barred indication is set to “barred”;</w:t>
      </w:r>
    </w:p>
    <w:p w14:paraId="23A341D7" w14:textId="0C84A039" w:rsidR="0099671A" w:rsidRDefault="0099671A" w:rsidP="00BA0F81">
      <w:pPr>
        <w:spacing w:after="240" w:line="240" w:lineRule="auto"/>
        <w:rPr>
          <w:b/>
          <w:bCs/>
        </w:rPr>
      </w:pPr>
      <w:r>
        <w:rPr>
          <w:rFonts w:hint="eastAsia"/>
          <w:b/>
          <w:bCs/>
        </w:rPr>
        <w:t>-</w:t>
      </w:r>
      <w:r>
        <w:rPr>
          <w:b/>
          <w:bCs/>
        </w:rPr>
        <w:t xml:space="preserve"> </w:t>
      </w:r>
      <w:r w:rsidRPr="00BF2C91">
        <w:rPr>
          <w:b/>
          <w:bCs/>
        </w:rPr>
        <w:t>consider the cell is allowed</w:t>
      </w:r>
      <w:r>
        <w:rPr>
          <w:b/>
          <w:bCs/>
        </w:rPr>
        <w:t xml:space="preserve"> for </w:t>
      </w:r>
      <w:r w:rsidR="003114AA">
        <w:rPr>
          <w:b/>
          <w:bCs/>
        </w:rPr>
        <w:t>access</w:t>
      </w:r>
      <w:r>
        <w:rPr>
          <w:b/>
          <w:bCs/>
        </w:rPr>
        <w:t xml:space="preserve"> if the R19 cell barred indication is set to “not barred”.</w:t>
      </w:r>
    </w:p>
    <w:p w14:paraId="4DEB5DB3" w14:textId="4B55A318" w:rsidR="00C27591" w:rsidRDefault="00C27591" w:rsidP="008C011C">
      <w:pPr>
        <w:pStyle w:val="1"/>
        <w:numPr>
          <w:ilvl w:val="0"/>
          <w:numId w:val="32"/>
        </w:numPr>
        <w:tabs>
          <w:tab w:val="left" w:pos="852"/>
        </w:tabs>
        <w:overflowPunct w:val="0"/>
        <w:autoSpaceDE w:val="0"/>
        <w:autoSpaceDN w:val="0"/>
        <w:adjustRightInd w:val="0"/>
        <w:spacing w:after="120" w:line="240" w:lineRule="auto"/>
        <w:textAlignment w:val="baseline"/>
      </w:pPr>
      <w:r>
        <w:t>Conclusion</w:t>
      </w:r>
    </w:p>
    <w:p w14:paraId="547B9F24" w14:textId="12C6D2D6"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the cell bar control for DL coverage </w:t>
      </w:r>
      <w:r w:rsidR="00A571A2">
        <w:rPr>
          <w:rStyle w:val="IvDbodytextChar"/>
          <w:rFonts w:ascii="Times New Roman" w:hAnsi="Times New Roman" w:cs="Times New Roman"/>
          <w:sz w:val="20"/>
          <w:szCs w:val="20"/>
          <w:lang w:eastAsia="zh-CN"/>
        </w:rPr>
        <w:t>enhancement</w:t>
      </w:r>
      <w:r w:rsidR="00C11E72">
        <w:rPr>
          <w:rStyle w:val="IvDbodytextChar"/>
          <w:rFonts w:ascii="Times New Roman" w:hAnsi="Times New Roman" w:cs="Times New Roman"/>
          <w:sz w:val="20"/>
          <w:szCs w:val="20"/>
          <w:lang w:eastAsia="zh-CN"/>
        </w:rPr>
        <w:t xml:space="preserve"> due to SSB periodicity extension</w:t>
      </w:r>
      <w:r w:rsidR="00BE0597">
        <w:rPr>
          <w:rStyle w:val="IvDbodytextChar"/>
          <w:rFonts w:ascii="Times New Roman" w:hAnsi="Times New Roman" w:cs="Times New Roman"/>
          <w:sz w:val="20"/>
          <w:szCs w:val="20"/>
          <w:lang w:eastAsia="zh-CN"/>
        </w:rPr>
        <w:t xml:space="preserve"> (if RAN1 agrees</w:t>
      </w:r>
      <w:r w:rsidR="0010093E">
        <w:rPr>
          <w:rStyle w:val="IvDbodytextChar"/>
          <w:rFonts w:ascii="Times New Roman" w:hAnsi="Times New Roman" w:cs="Times New Roman"/>
          <w:sz w:val="20"/>
          <w:szCs w:val="20"/>
          <w:lang w:eastAsia="zh-CN"/>
        </w:rPr>
        <w:t xml:space="preserve"> to do that</w:t>
      </w:r>
      <w:r w:rsidR="00BE0597">
        <w:rPr>
          <w:rStyle w:val="IvDbodytextChar"/>
          <w:rFonts w:ascii="Times New Roman" w:hAnsi="Times New Roman" w:cs="Times New Roman"/>
          <w:sz w:val="20"/>
          <w:szCs w:val="20"/>
          <w:lang w:eastAsia="zh-CN"/>
        </w:rPr>
        <w:t>)</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 proposals:</w:t>
      </w:r>
    </w:p>
    <w:p w14:paraId="60E652B4" w14:textId="46D2A848" w:rsidR="00C11E72" w:rsidRPr="003D2C48" w:rsidRDefault="00C11E72" w:rsidP="0062227D">
      <w:pPr>
        <w:spacing w:after="120" w:line="240" w:lineRule="auto"/>
        <w:jc w:val="both"/>
        <w:rPr>
          <w:b/>
          <w:bCs/>
        </w:rPr>
      </w:pPr>
      <w:r w:rsidRPr="003D2C48">
        <w:rPr>
          <w:b/>
          <w:bCs/>
        </w:rPr>
        <w:t xml:space="preserve">Observation: Legacy UE and R19 UE not supporting </w:t>
      </w:r>
      <w:r>
        <w:rPr>
          <w:b/>
          <w:bCs/>
        </w:rPr>
        <w:t xml:space="preserve">the </w:t>
      </w:r>
      <w:r w:rsidRPr="003D2C48">
        <w:rPr>
          <w:b/>
          <w:bCs/>
        </w:rPr>
        <w:t xml:space="preserve">SSB </w:t>
      </w:r>
      <w:r>
        <w:rPr>
          <w:b/>
          <w:bCs/>
        </w:rPr>
        <w:t xml:space="preserve">periodicity </w:t>
      </w:r>
      <w:r w:rsidRPr="003D2C48">
        <w:rPr>
          <w:b/>
          <w:bCs/>
        </w:rPr>
        <w:t>extension cannot work well in the cell with SSB periodicity extension.</w:t>
      </w:r>
    </w:p>
    <w:p w14:paraId="08568CFE" w14:textId="30F1B3CF" w:rsidR="00C11E72" w:rsidRPr="0099671A" w:rsidRDefault="00C11E72" w:rsidP="0062227D">
      <w:pPr>
        <w:spacing w:after="120" w:line="240" w:lineRule="auto"/>
        <w:jc w:val="both"/>
        <w:rPr>
          <w:b/>
          <w:bCs/>
        </w:rPr>
      </w:pPr>
      <w:r w:rsidRPr="0099671A">
        <w:rPr>
          <w:b/>
          <w:bCs/>
        </w:rPr>
        <w:t xml:space="preserve">Proposal </w:t>
      </w:r>
      <w:r>
        <w:rPr>
          <w:b/>
          <w:bCs/>
        </w:rPr>
        <w:t>1</w:t>
      </w:r>
      <w:r w:rsidRPr="0099671A">
        <w:rPr>
          <w:b/>
          <w:bCs/>
        </w:rPr>
        <w:t xml:space="preserve">: </w:t>
      </w:r>
      <w:r>
        <w:rPr>
          <w:b/>
          <w:bCs/>
        </w:rPr>
        <w:t>Introduce a R19 cell barred indication for SSB periodicity extension in SIB1</w:t>
      </w:r>
      <w:r w:rsidR="00CF1A8B" w:rsidRPr="00CF1A8B">
        <w:rPr>
          <w:b/>
          <w:bCs/>
        </w:rPr>
        <w:t xml:space="preserve"> </w:t>
      </w:r>
      <w:r w:rsidR="00CF1A8B">
        <w:rPr>
          <w:b/>
          <w:bCs/>
        </w:rPr>
        <w:t>if RAN1 agrees to extend the SSB periodicity</w:t>
      </w:r>
      <w:r>
        <w:rPr>
          <w:b/>
          <w:bCs/>
        </w:rPr>
        <w:t>.</w:t>
      </w:r>
    </w:p>
    <w:p w14:paraId="7B6B92C9" w14:textId="467C7289" w:rsidR="00C11E72" w:rsidRDefault="00C11E72" w:rsidP="0062227D">
      <w:pPr>
        <w:spacing w:after="120" w:line="240" w:lineRule="auto"/>
        <w:jc w:val="both"/>
        <w:rPr>
          <w:b/>
          <w:bCs/>
        </w:rPr>
      </w:pPr>
      <w:r w:rsidRPr="00256A28">
        <w:rPr>
          <w:b/>
          <w:bCs/>
        </w:rPr>
        <w:t xml:space="preserve">Proposal </w:t>
      </w:r>
      <w:r>
        <w:rPr>
          <w:b/>
          <w:bCs/>
        </w:rPr>
        <w:t>2</w:t>
      </w:r>
      <w:r w:rsidRPr="00256A28">
        <w:rPr>
          <w:b/>
          <w:bCs/>
        </w:rPr>
        <w:t xml:space="preserve">: R19 UEs not supporting the SSB extension can be barred </w:t>
      </w:r>
      <w:r>
        <w:rPr>
          <w:b/>
          <w:bCs/>
        </w:rPr>
        <w:t xml:space="preserve">from accessing the NTN cells with SSB periodicity extension </w:t>
      </w:r>
      <w:r w:rsidRPr="00256A28">
        <w:rPr>
          <w:b/>
          <w:bCs/>
        </w:rPr>
        <w:t xml:space="preserve">by the legacy </w:t>
      </w:r>
      <w:r>
        <w:rPr>
          <w:b/>
          <w:bCs/>
        </w:rPr>
        <w:t xml:space="preserve">NTN </w:t>
      </w:r>
      <w:r w:rsidRPr="00256A28">
        <w:rPr>
          <w:b/>
          <w:bCs/>
        </w:rPr>
        <w:t>cell barred indication.</w:t>
      </w:r>
    </w:p>
    <w:p w14:paraId="2F1A01E6" w14:textId="77777777" w:rsidR="0062227D" w:rsidRPr="0099671A" w:rsidRDefault="0062227D" w:rsidP="0062227D">
      <w:pPr>
        <w:spacing w:after="0" w:line="240" w:lineRule="auto"/>
        <w:jc w:val="both"/>
        <w:rPr>
          <w:b/>
          <w:bCs/>
        </w:rPr>
      </w:pPr>
      <w:r w:rsidRPr="0099671A">
        <w:rPr>
          <w:b/>
          <w:bCs/>
        </w:rPr>
        <w:t>Proposal 3: For R19 UEs supporting the SSB periodicity extension, the UE shall:</w:t>
      </w:r>
    </w:p>
    <w:p w14:paraId="13C7A45B" w14:textId="77777777" w:rsidR="0062227D" w:rsidRDefault="0062227D" w:rsidP="0062227D">
      <w:pPr>
        <w:spacing w:after="0" w:line="240" w:lineRule="auto"/>
        <w:rPr>
          <w:b/>
          <w:bCs/>
        </w:rPr>
      </w:pPr>
      <w:r>
        <w:rPr>
          <w:rFonts w:hint="eastAsia"/>
          <w:b/>
          <w:bCs/>
        </w:rPr>
        <w:t>-</w:t>
      </w:r>
      <w:r>
        <w:rPr>
          <w:b/>
          <w:bCs/>
        </w:rPr>
        <w:t xml:space="preserve"> follow the legacy </w:t>
      </w:r>
      <w:r w:rsidRPr="00DF31E2">
        <w:rPr>
          <w:b/>
          <w:bCs/>
          <w:i/>
          <w:iCs/>
        </w:rPr>
        <w:t>cellBarred</w:t>
      </w:r>
      <w:r w:rsidRPr="00DD794A">
        <w:rPr>
          <w:b/>
          <w:bCs/>
        </w:rPr>
        <w:t xml:space="preserve"> and </w:t>
      </w:r>
      <w:r w:rsidRPr="00DF31E2">
        <w:rPr>
          <w:b/>
          <w:bCs/>
          <w:i/>
          <w:iCs/>
        </w:rPr>
        <w:t>cellBarredNTN</w:t>
      </w:r>
      <w:r>
        <w:rPr>
          <w:b/>
          <w:bCs/>
        </w:rPr>
        <w:t xml:space="preserve"> indication if the R19 cell barred indication is not present;</w:t>
      </w:r>
    </w:p>
    <w:p w14:paraId="6CF8FBB1" w14:textId="77777777" w:rsidR="0062227D" w:rsidRDefault="0062227D" w:rsidP="0062227D">
      <w:pPr>
        <w:spacing w:after="0" w:line="240" w:lineRule="auto"/>
        <w:rPr>
          <w:b/>
          <w:bCs/>
        </w:rPr>
      </w:pPr>
      <w:r>
        <w:rPr>
          <w:rFonts w:hint="eastAsia"/>
          <w:b/>
          <w:bCs/>
        </w:rPr>
        <w:t>-</w:t>
      </w:r>
      <w:r>
        <w:rPr>
          <w:b/>
          <w:bCs/>
        </w:rPr>
        <w:t xml:space="preserve"> </w:t>
      </w:r>
      <w:r w:rsidRPr="00BF2C91">
        <w:rPr>
          <w:b/>
          <w:bCs/>
        </w:rPr>
        <w:t>consider the cell is not allowed</w:t>
      </w:r>
      <w:r>
        <w:rPr>
          <w:b/>
          <w:bCs/>
        </w:rPr>
        <w:t xml:space="preserve"> for </w:t>
      </w:r>
      <w:r w:rsidRPr="003114AA">
        <w:rPr>
          <w:b/>
          <w:bCs/>
        </w:rPr>
        <w:t>access</w:t>
      </w:r>
      <w:r>
        <w:rPr>
          <w:b/>
          <w:bCs/>
        </w:rPr>
        <w:t xml:space="preserve"> if the R19 cell barred indication is set to “barred”;</w:t>
      </w:r>
    </w:p>
    <w:p w14:paraId="26DC9DD4" w14:textId="77777777" w:rsidR="0062227D" w:rsidRDefault="0062227D" w:rsidP="0062227D">
      <w:pPr>
        <w:spacing w:after="240" w:line="240" w:lineRule="auto"/>
        <w:rPr>
          <w:b/>
          <w:bCs/>
        </w:rPr>
      </w:pPr>
      <w:r>
        <w:rPr>
          <w:rFonts w:hint="eastAsia"/>
          <w:b/>
          <w:bCs/>
        </w:rPr>
        <w:t>-</w:t>
      </w:r>
      <w:r>
        <w:rPr>
          <w:b/>
          <w:bCs/>
        </w:rPr>
        <w:t xml:space="preserve"> </w:t>
      </w:r>
      <w:r w:rsidRPr="00BF2C91">
        <w:rPr>
          <w:b/>
          <w:bCs/>
        </w:rPr>
        <w:t>consider the cell is allowed</w:t>
      </w:r>
      <w:r>
        <w:rPr>
          <w:b/>
          <w:bCs/>
        </w:rPr>
        <w:t xml:space="preserve"> for access if the R19 cell barred indication is set to “not barred”.</w:t>
      </w:r>
    </w:p>
    <w:p w14:paraId="4BB15EA5" w14:textId="1223FA70" w:rsidR="00EB2861" w:rsidRDefault="00317FEF" w:rsidP="008C011C">
      <w:pPr>
        <w:pStyle w:val="1"/>
        <w:numPr>
          <w:ilvl w:val="0"/>
          <w:numId w:val="32"/>
        </w:numPr>
        <w:tabs>
          <w:tab w:val="left" w:pos="852"/>
        </w:tabs>
        <w:overflowPunct w:val="0"/>
        <w:autoSpaceDE w:val="0"/>
        <w:autoSpaceDN w:val="0"/>
        <w:adjustRightInd w:val="0"/>
        <w:spacing w:after="120" w:line="240" w:lineRule="auto"/>
        <w:textAlignment w:val="baseline"/>
      </w:pPr>
      <w:r>
        <w:t>Refere</w:t>
      </w:r>
      <w:r w:rsidR="00ED1EB5" w:rsidRPr="008C011C">
        <w:rPr>
          <w:rFonts w:hint="eastAsia"/>
        </w:rPr>
        <w:t>n</w:t>
      </w:r>
      <w:r>
        <w:t xml:space="preserve">ce </w:t>
      </w:r>
    </w:p>
    <w:p w14:paraId="4F19E6D4" w14:textId="66FAABAC" w:rsidR="007E6AA7" w:rsidRDefault="00317FEF" w:rsidP="00BF239C">
      <w:pPr>
        <w:spacing w:after="120" w:line="240" w:lineRule="auto"/>
        <w:rPr>
          <w:rFonts w:eastAsia="宋体"/>
          <w:lang w:eastAsia="zh-CN"/>
        </w:rPr>
      </w:pPr>
      <w:r w:rsidRPr="002E09C0">
        <w:rPr>
          <w:rFonts w:eastAsia="宋体"/>
          <w:lang w:eastAsia="zh-CN"/>
        </w:rPr>
        <w:t xml:space="preserve">[1] </w:t>
      </w:r>
      <w:r w:rsidR="001F1372" w:rsidRPr="00CB65D6">
        <w:rPr>
          <w:rFonts w:eastAsia="宋体"/>
          <w:lang w:eastAsia="zh-CN"/>
        </w:rPr>
        <w:t>Draft_R2_12</w:t>
      </w:r>
      <w:r w:rsidR="001F1372">
        <w:rPr>
          <w:rFonts w:eastAsia="宋体"/>
          <w:lang w:eastAsia="zh-CN"/>
        </w:rPr>
        <w:t>7</w:t>
      </w:r>
      <w:r w:rsidR="001F1372" w:rsidRPr="00CB65D6">
        <w:rPr>
          <w:rFonts w:eastAsia="宋体"/>
          <w:lang w:eastAsia="zh-CN"/>
        </w:rPr>
        <w:t>_Meeting_Report_v</w:t>
      </w:r>
      <w:r w:rsidR="001F1372">
        <w:rPr>
          <w:rFonts w:eastAsia="宋体"/>
          <w:lang w:eastAsia="zh-CN"/>
        </w:rPr>
        <w:t>1.</w:t>
      </w:r>
    </w:p>
    <w:p w14:paraId="5B86A469" w14:textId="4C9D5A19" w:rsidR="00EC7BFE" w:rsidRPr="00362A49" w:rsidRDefault="00EC7BFE" w:rsidP="00BF239C">
      <w:pPr>
        <w:spacing w:after="120" w:line="240" w:lineRule="auto"/>
        <w:rPr>
          <w:rFonts w:eastAsia="宋体"/>
          <w:lang w:eastAsia="zh-CN"/>
        </w:rPr>
      </w:pPr>
      <w:r w:rsidRPr="002E09C0">
        <w:rPr>
          <w:rFonts w:eastAsia="宋体"/>
          <w:lang w:eastAsia="zh-CN"/>
        </w:rPr>
        <w:t>[</w:t>
      </w:r>
      <w:r w:rsidR="00E972C7">
        <w:rPr>
          <w:rFonts w:eastAsia="宋体"/>
          <w:lang w:eastAsia="zh-CN"/>
        </w:rPr>
        <w:t>2</w:t>
      </w:r>
      <w:r w:rsidRPr="002E09C0">
        <w:rPr>
          <w:rFonts w:eastAsia="宋体"/>
          <w:lang w:eastAsia="zh-CN"/>
        </w:rPr>
        <w:t xml:space="preserve">] </w:t>
      </w:r>
      <w:r w:rsidR="00C11E72" w:rsidRPr="00C11E72">
        <w:rPr>
          <w:rFonts w:eastAsia="宋体"/>
          <w:lang w:eastAsia="zh-CN"/>
        </w:rPr>
        <w:t>R1-2407538</w:t>
      </w:r>
      <w:r w:rsidR="00C11E72">
        <w:rPr>
          <w:rFonts w:eastAsia="宋体"/>
          <w:lang w:eastAsia="zh-CN"/>
        </w:rPr>
        <w:t xml:space="preserve">, </w:t>
      </w:r>
      <w:r w:rsidR="00C11E72" w:rsidRPr="00C11E72">
        <w:rPr>
          <w:rFonts w:eastAsia="宋体"/>
          <w:lang w:eastAsia="zh-CN"/>
        </w:rPr>
        <w:t>Reply LS on DL coverage enhancements</w:t>
      </w:r>
      <w:r w:rsidR="00C11E72">
        <w:rPr>
          <w:rFonts w:eastAsia="宋体"/>
          <w:lang w:eastAsia="zh-CN"/>
        </w:rPr>
        <w:t>.</w:t>
      </w:r>
    </w:p>
    <w:sectPr w:rsidR="00EC7BFE" w:rsidRPr="00362A49">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44DDA" w14:textId="77777777" w:rsidR="009A52E5" w:rsidRDefault="009A52E5">
      <w:pPr>
        <w:spacing w:after="0" w:line="240" w:lineRule="auto"/>
      </w:pPr>
      <w:r>
        <w:separator/>
      </w:r>
    </w:p>
  </w:endnote>
  <w:endnote w:type="continuationSeparator" w:id="0">
    <w:p w14:paraId="2D7E7677" w14:textId="77777777" w:rsidR="009A52E5" w:rsidRDefault="009A52E5">
      <w:pPr>
        <w:spacing w:after="0" w:line="240" w:lineRule="auto"/>
      </w:pPr>
      <w:r>
        <w:continuationSeparator/>
      </w:r>
    </w:p>
  </w:endnote>
  <w:endnote w:type="continuationNotice" w:id="1">
    <w:p w14:paraId="205FD8C0" w14:textId="77777777" w:rsidR="009A52E5" w:rsidRDefault="009A52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F2AA8" w14:textId="77777777" w:rsidR="009A52E5" w:rsidRDefault="009A52E5">
      <w:pPr>
        <w:spacing w:after="0" w:line="240" w:lineRule="auto"/>
      </w:pPr>
      <w:r>
        <w:separator/>
      </w:r>
    </w:p>
  </w:footnote>
  <w:footnote w:type="continuationSeparator" w:id="0">
    <w:p w14:paraId="7A4026AE" w14:textId="77777777" w:rsidR="009A52E5" w:rsidRDefault="009A52E5">
      <w:pPr>
        <w:spacing w:after="0" w:line="240" w:lineRule="auto"/>
      </w:pPr>
      <w:r>
        <w:continuationSeparator/>
      </w:r>
    </w:p>
  </w:footnote>
  <w:footnote w:type="continuationNotice" w:id="1">
    <w:p w14:paraId="754AAB52" w14:textId="77777777" w:rsidR="009A52E5" w:rsidRDefault="009A52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077C44"/>
    <w:multiLevelType w:val="hybridMultilevel"/>
    <w:tmpl w:val="3F8436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7"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9"/>
  </w:num>
  <w:num w:numId="3">
    <w:abstractNumId w:val="0"/>
  </w:num>
  <w:num w:numId="4">
    <w:abstractNumId w:val="8"/>
  </w:num>
  <w:num w:numId="5">
    <w:abstractNumId w:val="5"/>
  </w:num>
  <w:num w:numId="6">
    <w:abstractNumId w:val="18"/>
  </w:num>
  <w:num w:numId="7">
    <w:abstractNumId w:val="22"/>
  </w:num>
  <w:num w:numId="8">
    <w:abstractNumId w:val="15"/>
  </w:num>
  <w:num w:numId="9">
    <w:abstractNumId w:val="14"/>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16"/>
  </w:num>
  <w:num w:numId="19">
    <w:abstractNumId w:val="12"/>
  </w:num>
  <w:num w:numId="20">
    <w:abstractNumId w:val="21"/>
  </w:num>
  <w:num w:numId="21">
    <w:abstractNumId w:val="24"/>
  </w:num>
  <w:num w:numId="22">
    <w:abstractNumId w:val="9"/>
  </w:num>
  <w:num w:numId="23">
    <w:abstractNumId w:val="20"/>
  </w:num>
  <w:num w:numId="24">
    <w:abstractNumId w:val="2"/>
  </w:num>
  <w:num w:numId="25">
    <w:abstractNumId w:val="1"/>
  </w:num>
  <w:num w:numId="26">
    <w:abstractNumId w:val="10"/>
  </w:num>
  <w:num w:numId="27">
    <w:abstractNumId w:val="11"/>
  </w:num>
  <w:num w:numId="28">
    <w:abstractNumId w:val="3"/>
  </w:num>
  <w:num w:numId="29">
    <w:abstractNumId w:val="17"/>
  </w:num>
  <w:num w:numId="30">
    <w:abstractNumId w:val="6"/>
  </w:num>
  <w:num w:numId="31">
    <w:abstractNumId w:val="13"/>
  </w:num>
  <w:num w:numId="32">
    <w:abstractNumId w:val="4"/>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8673">
      <o:colormru v:ext="edit" colors="#cae6ca"/>
      <o:colormenu v:ext="edit" fillcolor="none [3212]"/>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OpBQBVTWUXLgAAAA=="/>
  </w:docVars>
  <w:rsids>
    <w:rsidRoot w:val="00635E11"/>
    <w:rsid w:val="00000A41"/>
    <w:rsid w:val="0000123E"/>
    <w:rsid w:val="00001962"/>
    <w:rsid w:val="00001B5D"/>
    <w:rsid w:val="00001CF6"/>
    <w:rsid w:val="000027A5"/>
    <w:rsid w:val="00002804"/>
    <w:rsid w:val="0000327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F98"/>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A"/>
    <w:rsid w:val="00017A96"/>
    <w:rsid w:val="00020261"/>
    <w:rsid w:val="000203F9"/>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ADC"/>
    <w:rsid w:val="0002428A"/>
    <w:rsid w:val="000243B1"/>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2046"/>
    <w:rsid w:val="00032199"/>
    <w:rsid w:val="000328CE"/>
    <w:rsid w:val="00032B4D"/>
    <w:rsid w:val="00032D6C"/>
    <w:rsid w:val="00032D85"/>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98E"/>
    <w:rsid w:val="00054B1C"/>
    <w:rsid w:val="00054C2D"/>
    <w:rsid w:val="00054C7D"/>
    <w:rsid w:val="00055460"/>
    <w:rsid w:val="000559C5"/>
    <w:rsid w:val="00055BA9"/>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634"/>
    <w:rsid w:val="00077700"/>
    <w:rsid w:val="00077904"/>
    <w:rsid w:val="00077E46"/>
    <w:rsid w:val="00080129"/>
    <w:rsid w:val="000804A9"/>
    <w:rsid w:val="00081065"/>
    <w:rsid w:val="00081560"/>
    <w:rsid w:val="00081A2F"/>
    <w:rsid w:val="00081CEE"/>
    <w:rsid w:val="00081DC9"/>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2809"/>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5C0"/>
    <w:rsid w:val="000D314A"/>
    <w:rsid w:val="000D346D"/>
    <w:rsid w:val="000D365F"/>
    <w:rsid w:val="000D371D"/>
    <w:rsid w:val="000D387B"/>
    <w:rsid w:val="000D3A7A"/>
    <w:rsid w:val="000D3F77"/>
    <w:rsid w:val="000D462C"/>
    <w:rsid w:val="000D4F73"/>
    <w:rsid w:val="000D5A66"/>
    <w:rsid w:val="000D5BB8"/>
    <w:rsid w:val="000D5D6C"/>
    <w:rsid w:val="000D6392"/>
    <w:rsid w:val="000D6E08"/>
    <w:rsid w:val="000D7C13"/>
    <w:rsid w:val="000E002B"/>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93E"/>
    <w:rsid w:val="00100B01"/>
    <w:rsid w:val="00100CC3"/>
    <w:rsid w:val="00100D94"/>
    <w:rsid w:val="00100DAD"/>
    <w:rsid w:val="00101554"/>
    <w:rsid w:val="001017BD"/>
    <w:rsid w:val="00102B5D"/>
    <w:rsid w:val="00102BC1"/>
    <w:rsid w:val="00102C6E"/>
    <w:rsid w:val="00103A69"/>
    <w:rsid w:val="00103A7B"/>
    <w:rsid w:val="00105164"/>
    <w:rsid w:val="00105902"/>
    <w:rsid w:val="001064C6"/>
    <w:rsid w:val="00106777"/>
    <w:rsid w:val="00106F4E"/>
    <w:rsid w:val="001075B3"/>
    <w:rsid w:val="00107788"/>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BC2"/>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20500"/>
    <w:rsid w:val="0012079A"/>
    <w:rsid w:val="00120B52"/>
    <w:rsid w:val="00120D50"/>
    <w:rsid w:val="00120DC8"/>
    <w:rsid w:val="00121316"/>
    <w:rsid w:val="00121553"/>
    <w:rsid w:val="001215B6"/>
    <w:rsid w:val="00121629"/>
    <w:rsid w:val="001219B8"/>
    <w:rsid w:val="00122BD0"/>
    <w:rsid w:val="00123452"/>
    <w:rsid w:val="00123CD2"/>
    <w:rsid w:val="00123DD3"/>
    <w:rsid w:val="001240CA"/>
    <w:rsid w:val="00124392"/>
    <w:rsid w:val="001246C3"/>
    <w:rsid w:val="001246FA"/>
    <w:rsid w:val="001249F2"/>
    <w:rsid w:val="00124E2F"/>
    <w:rsid w:val="00125167"/>
    <w:rsid w:val="001252D1"/>
    <w:rsid w:val="0012546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60D8"/>
    <w:rsid w:val="001464AE"/>
    <w:rsid w:val="00146980"/>
    <w:rsid w:val="00146A9D"/>
    <w:rsid w:val="00146E18"/>
    <w:rsid w:val="00147251"/>
    <w:rsid w:val="00147745"/>
    <w:rsid w:val="0014795E"/>
    <w:rsid w:val="00147AD1"/>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8E8"/>
    <w:rsid w:val="00171DF1"/>
    <w:rsid w:val="001722E2"/>
    <w:rsid w:val="001724B8"/>
    <w:rsid w:val="001724DC"/>
    <w:rsid w:val="0017289B"/>
    <w:rsid w:val="001728D6"/>
    <w:rsid w:val="00173318"/>
    <w:rsid w:val="0017364A"/>
    <w:rsid w:val="001737E1"/>
    <w:rsid w:val="001738CF"/>
    <w:rsid w:val="00173C61"/>
    <w:rsid w:val="00174BAC"/>
    <w:rsid w:val="00174EA9"/>
    <w:rsid w:val="00174F3C"/>
    <w:rsid w:val="00175C19"/>
    <w:rsid w:val="00175F99"/>
    <w:rsid w:val="001763CF"/>
    <w:rsid w:val="0017655D"/>
    <w:rsid w:val="001767C6"/>
    <w:rsid w:val="0017696B"/>
    <w:rsid w:val="00176B49"/>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362B"/>
    <w:rsid w:val="001A3FBC"/>
    <w:rsid w:val="001A4B90"/>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4D93"/>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836"/>
    <w:rsid w:val="001C2CBB"/>
    <w:rsid w:val="001C3489"/>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372"/>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4E85"/>
    <w:rsid w:val="00225470"/>
    <w:rsid w:val="002256AA"/>
    <w:rsid w:val="00225790"/>
    <w:rsid w:val="00225A89"/>
    <w:rsid w:val="00226556"/>
    <w:rsid w:val="00226CE7"/>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A66"/>
    <w:rsid w:val="00261FE5"/>
    <w:rsid w:val="00262705"/>
    <w:rsid w:val="00262A8C"/>
    <w:rsid w:val="002633AD"/>
    <w:rsid w:val="00263B78"/>
    <w:rsid w:val="00264309"/>
    <w:rsid w:val="002647C3"/>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BEA"/>
    <w:rsid w:val="002821FD"/>
    <w:rsid w:val="00282382"/>
    <w:rsid w:val="00282481"/>
    <w:rsid w:val="0028262E"/>
    <w:rsid w:val="002829CC"/>
    <w:rsid w:val="00282F24"/>
    <w:rsid w:val="00283136"/>
    <w:rsid w:val="00283375"/>
    <w:rsid w:val="00283791"/>
    <w:rsid w:val="00283B8E"/>
    <w:rsid w:val="00283C06"/>
    <w:rsid w:val="00283DE7"/>
    <w:rsid w:val="00283DFA"/>
    <w:rsid w:val="00284190"/>
    <w:rsid w:val="00284710"/>
    <w:rsid w:val="00284DBD"/>
    <w:rsid w:val="00284E2C"/>
    <w:rsid w:val="00285134"/>
    <w:rsid w:val="002851C8"/>
    <w:rsid w:val="00285451"/>
    <w:rsid w:val="002863F9"/>
    <w:rsid w:val="00286528"/>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406B"/>
    <w:rsid w:val="0029425E"/>
    <w:rsid w:val="0029488A"/>
    <w:rsid w:val="0029549E"/>
    <w:rsid w:val="00295C33"/>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496"/>
    <w:rsid w:val="002A75DA"/>
    <w:rsid w:val="002A7748"/>
    <w:rsid w:val="002A782E"/>
    <w:rsid w:val="002B0764"/>
    <w:rsid w:val="002B0871"/>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40D"/>
    <w:rsid w:val="002D0617"/>
    <w:rsid w:val="002D06CC"/>
    <w:rsid w:val="002D09FC"/>
    <w:rsid w:val="002D0EA9"/>
    <w:rsid w:val="002D149D"/>
    <w:rsid w:val="002D17B1"/>
    <w:rsid w:val="002D1BD2"/>
    <w:rsid w:val="002D222C"/>
    <w:rsid w:val="002D27BC"/>
    <w:rsid w:val="002D2DA6"/>
    <w:rsid w:val="002D3AAB"/>
    <w:rsid w:val="002D3DDB"/>
    <w:rsid w:val="002D4A8D"/>
    <w:rsid w:val="002D4DF5"/>
    <w:rsid w:val="002D4E07"/>
    <w:rsid w:val="002D549A"/>
    <w:rsid w:val="002D55B1"/>
    <w:rsid w:val="002D5886"/>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5CA6"/>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4AA"/>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47"/>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65"/>
    <w:rsid w:val="00347B20"/>
    <w:rsid w:val="00347EF0"/>
    <w:rsid w:val="0035054F"/>
    <w:rsid w:val="00350695"/>
    <w:rsid w:val="00350B2B"/>
    <w:rsid w:val="00350C08"/>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A2B"/>
    <w:rsid w:val="003927A2"/>
    <w:rsid w:val="00392B05"/>
    <w:rsid w:val="00392F55"/>
    <w:rsid w:val="0039309E"/>
    <w:rsid w:val="00393182"/>
    <w:rsid w:val="00393347"/>
    <w:rsid w:val="0039380E"/>
    <w:rsid w:val="00393AFE"/>
    <w:rsid w:val="00393C7C"/>
    <w:rsid w:val="00393E5A"/>
    <w:rsid w:val="00393F45"/>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18A"/>
    <w:rsid w:val="003B1445"/>
    <w:rsid w:val="003B1A25"/>
    <w:rsid w:val="003B1E13"/>
    <w:rsid w:val="003B1F58"/>
    <w:rsid w:val="003B20C3"/>
    <w:rsid w:val="003B2ABF"/>
    <w:rsid w:val="003B2CCB"/>
    <w:rsid w:val="003B3415"/>
    <w:rsid w:val="003B3896"/>
    <w:rsid w:val="003B400D"/>
    <w:rsid w:val="003B4721"/>
    <w:rsid w:val="003B47FD"/>
    <w:rsid w:val="003B4C00"/>
    <w:rsid w:val="003B4C0D"/>
    <w:rsid w:val="003B4F3F"/>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3DF"/>
    <w:rsid w:val="003C15BA"/>
    <w:rsid w:val="003C1D70"/>
    <w:rsid w:val="003C2140"/>
    <w:rsid w:val="003C21CF"/>
    <w:rsid w:val="003C21D0"/>
    <w:rsid w:val="003C2452"/>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EF1"/>
    <w:rsid w:val="003C6F12"/>
    <w:rsid w:val="003C70CC"/>
    <w:rsid w:val="003C750A"/>
    <w:rsid w:val="003C7DDE"/>
    <w:rsid w:val="003D00A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7E5"/>
    <w:rsid w:val="003E28AF"/>
    <w:rsid w:val="003E2924"/>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FB3"/>
    <w:rsid w:val="003F3209"/>
    <w:rsid w:val="003F32B1"/>
    <w:rsid w:val="003F3367"/>
    <w:rsid w:val="003F34CF"/>
    <w:rsid w:val="003F35C6"/>
    <w:rsid w:val="003F3BF2"/>
    <w:rsid w:val="003F3F2A"/>
    <w:rsid w:val="003F40CB"/>
    <w:rsid w:val="003F4B4C"/>
    <w:rsid w:val="003F4ECE"/>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AE4"/>
    <w:rsid w:val="00410C14"/>
    <w:rsid w:val="0041105D"/>
    <w:rsid w:val="0041150B"/>
    <w:rsid w:val="00411859"/>
    <w:rsid w:val="00411BCB"/>
    <w:rsid w:val="00411DD4"/>
    <w:rsid w:val="004123D9"/>
    <w:rsid w:val="00412BB1"/>
    <w:rsid w:val="00412F78"/>
    <w:rsid w:val="0041316E"/>
    <w:rsid w:val="0041341B"/>
    <w:rsid w:val="0041354E"/>
    <w:rsid w:val="00414D23"/>
    <w:rsid w:val="00414F89"/>
    <w:rsid w:val="00414FD4"/>
    <w:rsid w:val="00415129"/>
    <w:rsid w:val="004156B2"/>
    <w:rsid w:val="00415773"/>
    <w:rsid w:val="00415875"/>
    <w:rsid w:val="00415C07"/>
    <w:rsid w:val="00415CC7"/>
    <w:rsid w:val="004164BF"/>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AAC"/>
    <w:rsid w:val="00424B6C"/>
    <w:rsid w:val="00424EE9"/>
    <w:rsid w:val="004252DC"/>
    <w:rsid w:val="00425A5B"/>
    <w:rsid w:val="00425CB0"/>
    <w:rsid w:val="00426050"/>
    <w:rsid w:val="004260A0"/>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C13"/>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4B7"/>
    <w:rsid w:val="00463A43"/>
    <w:rsid w:val="0046400A"/>
    <w:rsid w:val="00464327"/>
    <w:rsid w:val="00464392"/>
    <w:rsid w:val="004646CC"/>
    <w:rsid w:val="004646E3"/>
    <w:rsid w:val="00464708"/>
    <w:rsid w:val="00464EBA"/>
    <w:rsid w:val="0046563F"/>
    <w:rsid w:val="00465764"/>
    <w:rsid w:val="0046580E"/>
    <w:rsid w:val="00465CD5"/>
    <w:rsid w:val="00465E89"/>
    <w:rsid w:val="00466178"/>
    <w:rsid w:val="00466B3E"/>
    <w:rsid w:val="00466F9D"/>
    <w:rsid w:val="004674C1"/>
    <w:rsid w:val="00467590"/>
    <w:rsid w:val="00467E52"/>
    <w:rsid w:val="00467F2A"/>
    <w:rsid w:val="00470039"/>
    <w:rsid w:val="004706F9"/>
    <w:rsid w:val="004709E1"/>
    <w:rsid w:val="00471046"/>
    <w:rsid w:val="004714D9"/>
    <w:rsid w:val="00471666"/>
    <w:rsid w:val="00471BAB"/>
    <w:rsid w:val="00471C89"/>
    <w:rsid w:val="004724E3"/>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879"/>
    <w:rsid w:val="00482FF6"/>
    <w:rsid w:val="00483015"/>
    <w:rsid w:val="0048301E"/>
    <w:rsid w:val="00483849"/>
    <w:rsid w:val="00483ABA"/>
    <w:rsid w:val="00483C37"/>
    <w:rsid w:val="00483CE8"/>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E06"/>
    <w:rsid w:val="00492E1C"/>
    <w:rsid w:val="0049350B"/>
    <w:rsid w:val="0049374F"/>
    <w:rsid w:val="004938D7"/>
    <w:rsid w:val="00493D24"/>
    <w:rsid w:val="00493D97"/>
    <w:rsid w:val="00493EA1"/>
    <w:rsid w:val="00493ED4"/>
    <w:rsid w:val="004943C9"/>
    <w:rsid w:val="00494463"/>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C6"/>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3D54"/>
    <w:rsid w:val="004A4850"/>
    <w:rsid w:val="004A4A43"/>
    <w:rsid w:val="004A537A"/>
    <w:rsid w:val="004A5A26"/>
    <w:rsid w:val="004A6515"/>
    <w:rsid w:val="004A6830"/>
    <w:rsid w:val="004A6A2B"/>
    <w:rsid w:val="004A6CCD"/>
    <w:rsid w:val="004A6D4A"/>
    <w:rsid w:val="004A7444"/>
    <w:rsid w:val="004A78CB"/>
    <w:rsid w:val="004A7A55"/>
    <w:rsid w:val="004B179B"/>
    <w:rsid w:val="004B2018"/>
    <w:rsid w:val="004B25A7"/>
    <w:rsid w:val="004B261B"/>
    <w:rsid w:val="004B2690"/>
    <w:rsid w:val="004B2784"/>
    <w:rsid w:val="004B2AC3"/>
    <w:rsid w:val="004B2BEA"/>
    <w:rsid w:val="004B34F7"/>
    <w:rsid w:val="004B3D05"/>
    <w:rsid w:val="004B404A"/>
    <w:rsid w:val="004B40DF"/>
    <w:rsid w:val="004B4673"/>
    <w:rsid w:val="004B47D3"/>
    <w:rsid w:val="004B4F34"/>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CA7"/>
    <w:rsid w:val="004C0D82"/>
    <w:rsid w:val="004C0ECE"/>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8B4"/>
    <w:rsid w:val="0051005E"/>
    <w:rsid w:val="005102DE"/>
    <w:rsid w:val="00510EC9"/>
    <w:rsid w:val="005114B4"/>
    <w:rsid w:val="00511755"/>
    <w:rsid w:val="005117F0"/>
    <w:rsid w:val="00511A5E"/>
    <w:rsid w:val="00511E6C"/>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767"/>
    <w:rsid w:val="00533809"/>
    <w:rsid w:val="00534169"/>
    <w:rsid w:val="0053426B"/>
    <w:rsid w:val="00534536"/>
    <w:rsid w:val="00534858"/>
    <w:rsid w:val="00534871"/>
    <w:rsid w:val="00534A68"/>
    <w:rsid w:val="00535431"/>
    <w:rsid w:val="00535ABD"/>
    <w:rsid w:val="00535E97"/>
    <w:rsid w:val="00536DE7"/>
    <w:rsid w:val="005372EC"/>
    <w:rsid w:val="0053730A"/>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4697"/>
    <w:rsid w:val="005449A9"/>
    <w:rsid w:val="00544D19"/>
    <w:rsid w:val="00544DD8"/>
    <w:rsid w:val="00544E75"/>
    <w:rsid w:val="00545107"/>
    <w:rsid w:val="00545BB1"/>
    <w:rsid w:val="00545DF6"/>
    <w:rsid w:val="00545EA4"/>
    <w:rsid w:val="00546021"/>
    <w:rsid w:val="00546156"/>
    <w:rsid w:val="00546191"/>
    <w:rsid w:val="005462DD"/>
    <w:rsid w:val="00546D70"/>
    <w:rsid w:val="00546E8A"/>
    <w:rsid w:val="005473A5"/>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7B7"/>
    <w:rsid w:val="005548A8"/>
    <w:rsid w:val="00554926"/>
    <w:rsid w:val="00554D9A"/>
    <w:rsid w:val="00554F1F"/>
    <w:rsid w:val="00555010"/>
    <w:rsid w:val="00555517"/>
    <w:rsid w:val="0055566A"/>
    <w:rsid w:val="00555A94"/>
    <w:rsid w:val="00555F5E"/>
    <w:rsid w:val="0055611F"/>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215C"/>
    <w:rsid w:val="005822AC"/>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07"/>
    <w:rsid w:val="005A2927"/>
    <w:rsid w:val="005A2BA9"/>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686"/>
    <w:rsid w:val="005C4DC2"/>
    <w:rsid w:val="005C568B"/>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E03C5"/>
    <w:rsid w:val="005E0617"/>
    <w:rsid w:val="005E06C1"/>
    <w:rsid w:val="005E0A46"/>
    <w:rsid w:val="005E0EFE"/>
    <w:rsid w:val="005E1227"/>
    <w:rsid w:val="005E1BBD"/>
    <w:rsid w:val="005E2853"/>
    <w:rsid w:val="005E287D"/>
    <w:rsid w:val="005E2B2D"/>
    <w:rsid w:val="005E2CD5"/>
    <w:rsid w:val="005E2FE1"/>
    <w:rsid w:val="005E33AD"/>
    <w:rsid w:val="005E3566"/>
    <w:rsid w:val="005E38E9"/>
    <w:rsid w:val="005E3C55"/>
    <w:rsid w:val="005E4064"/>
    <w:rsid w:val="005E41B8"/>
    <w:rsid w:val="005E4BD7"/>
    <w:rsid w:val="005E4DB5"/>
    <w:rsid w:val="005E4EA6"/>
    <w:rsid w:val="005E4EC9"/>
    <w:rsid w:val="005E53C6"/>
    <w:rsid w:val="005E53CD"/>
    <w:rsid w:val="005E55DF"/>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AC5"/>
    <w:rsid w:val="005F5F2B"/>
    <w:rsid w:val="005F5F7E"/>
    <w:rsid w:val="005F6205"/>
    <w:rsid w:val="005F64F2"/>
    <w:rsid w:val="005F6925"/>
    <w:rsid w:val="005F697D"/>
    <w:rsid w:val="005F6CF3"/>
    <w:rsid w:val="005F7BD6"/>
    <w:rsid w:val="00600984"/>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27D"/>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D38"/>
    <w:rsid w:val="00627EE3"/>
    <w:rsid w:val="0063003F"/>
    <w:rsid w:val="00630369"/>
    <w:rsid w:val="00630BBC"/>
    <w:rsid w:val="00630D51"/>
    <w:rsid w:val="0063136E"/>
    <w:rsid w:val="00631424"/>
    <w:rsid w:val="006318AF"/>
    <w:rsid w:val="00632036"/>
    <w:rsid w:val="006321A8"/>
    <w:rsid w:val="006323B7"/>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676"/>
    <w:rsid w:val="00636A73"/>
    <w:rsid w:val="00636E32"/>
    <w:rsid w:val="00636E66"/>
    <w:rsid w:val="006370E1"/>
    <w:rsid w:val="0063739C"/>
    <w:rsid w:val="006374B8"/>
    <w:rsid w:val="006376B8"/>
    <w:rsid w:val="00637CC4"/>
    <w:rsid w:val="006403B8"/>
    <w:rsid w:val="00640549"/>
    <w:rsid w:val="0064079C"/>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0E6"/>
    <w:rsid w:val="00654526"/>
    <w:rsid w:val="00654810"/>
    <w:rsid w:val="00654921"/>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71DF"/>
    <w:rsid w:val="00677489"/>
    <w:rsid w:val="00677D6B"/>
    <w:rsid w:val="00677EAD"/>
    <w:rsid w:val="00680357"/>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4CD"/>
    <w:rsid w:val="00694577"/>
    <w:rsid w:val="00695471"/>
    <w:rsid w:val="00695E98"/>
    <w:rsid w:val="00696076"/>
    <w:rsid w:val="0069612B"/>
    <w:rsid w:val="0069666F"/>
    <w:rsid w:val="006966DB"/>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301"/>
    <w:rsid w:val="006F1BCB"/>
    <w:rsid w:val="006F1D3B"/>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CF4"/>
    <w:rsid w:val="006F5FD8"/>
    <w:rsid w:val="006F661A"/>
    <w:rsid w:val="006F692F"/>
    <w:rsid w:val="006F71BA"/>
    <w:rsid w:val="006F75D5"/>
    <w:rsid w:val="006F7935"/>
    <w:rsid w:val="006F7A04"/>
    <w:rsid w:val="006F7A94"/>
    <w:rsid w:val="006F7DB9"/>
    <w:rsid w:val="007001E2"/>
    <w:rsid w:val="007003EA"/>
    <w:rsid w:val="007005C1"/>
    <w:rsid w:val="00701213"/>
    <w:rsid w:val="00701578"/>
    <w:rsid w:val="0070189D"/>
    <w:rsid w:val="0070224E"/>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043"/>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51DE"/>
    <w:rsid w:val="007452EB"/>
    <w:rsid w:val="007455E8"/>
    <w:rsid w:val="0074575D"/>
    <w:rsid w:val="00745CEA"/>
    <w:rsid w:val="00745FC5"/>
    <w:rsid w:val="007468EA"/>
    <w:rsid w:val="00746BA3"/>
    <w:rsid w:val="0074745B"/>
    <w:rsid w:val="00747661"/>
    <w:rsid w:val="007477FF"/>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739"/>
    <w:rsid w:val="00761807"/>
    <w:rsid w:val="007624D9"/>
    <w:rsid w:val="007625F3"/>
    <w:rsid w:val="00762AD9"/>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879F5"/>
    <w:rsid w:val="00790026"/>
    <w:rsid w:val="0079061F"/>
    <w:rsid w:val="00790A15"/>
    <w:rsid w:val="00790BF6"/>
    <w:rsid w:val="00790CB0"/>
    <w:rsid w:val="00791F47"/>
    <w:rsid w:val="00791F7E"/>
    <w:rsid w:val="00792543"/>
    <w:rsid w:val="007928BC"/>
    <w:rsid w:val="0079294A"/>
    <w:rsid w:val="00792CEE"/>
    <w:rsid w:val="00792EA1"/>
    <w:rsid w:val="00793271"/>
    <w:rsid w:val="007939D3"/>
    <w:rsid w:val="0079415F"/>
    <w:rsid w:val="00794685"/>
    <w:rsid w:val="00794B2F"/>
    <w:rsid w:val="00794D9B"/>
    <w:rsid w:val="00794FBB"/>
    <w:rsid w:val="0079569C"/>
    <w:rsid w:val="00795B4E"/>
    <w:rsid w:val="0079627C"/>
    <w:rsid w:val="00796884"/>
    <w:rsid w:val="007969E3"/>
    <w:rsid w:val="00796BCC"/>
    <w:rsid w:val="00796CBA"/>
    <w:rsid w:val="00796F29"/>
    <w:rsid w:val="00796F5C"/>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48B"/>
    <w:rsid w:val="007A5EDF"/>
    <w:rsid w:val="007A5FC1"/>
    <w:rsid w:val="007A605E"/>
    <w:rsid w:val="007A62D2"/>
    <w:rsid w:val="007A6511"/>
    <w:rsid w:val="007A69BE"/>
    <w:rsid w:val="007A6A19"/>
    <w:rsid w:val="007A6A63"/>
    <w:rsid w:val="007A70E8"/>
    <w:rsid w:val="007A7137"/>
    <w:rsid w:val="007A784A"/>
    <w:rsid w:val="007A79FF"/>
    <w:rsid w:val="007A7C85"/>
    <w:rsid w:val="007A7CCF"/>
    <w:rsid w:val="007B00AD"/>
    <w:rsid w:val="007B02AB"/>
    <w:rsid w:val="007B0695"/>
    <w:rsid w:val="007B070E"/>
    <w:rsid w:val="007B08DA"/>
    <w:rsid w:val="007B0EC0"/>
    <w:rsid w:val="007B1FEA"/>
    <w:rsid w:val="007B2120"/>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0C3"/>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D00CD"/>
    <w:rsid w:val="007D013B"/>
    <w:rsid w:val="007D03C7"/>
    <w:rsid w:val="007D08C1"/>
    <w:rsid w:val="007D0D95"/>
    <w:rsid w:val="007D10A3"/>
    <w:rsid w:val="007D19F4"/>
    <w:rsid w:val="007D1F73"/>
    <w:rsid w:val="007D1FA6"/>
    <w:rsid w:val="007D218F"/>
    <w:rsid w:val="007D235F"/>
    <w:rsid w:val="007D2728"/>
    <w:rsid w:val="007D290B"/>
    <w:rsid w:val="007D2A10"/>
    <w:rsid w:val="007D3EF9"/>
    <w:rsid w:val="007D4058"/>
    <w:rsid w:val="007D4112"/>
    <w:rsid w:val="007D41E4"/>
    <w:rsid w:val="007D44B0"/>
    <w:rsid w:val="007D4E65"/>
    <w:rsid w:val="007D4F21"/>
    <w:rsid w:val="007D4F4A"/>
    <w:rsid w:val="007D4FD6"/>
    <w:rsid w:val="007D5363"/>
    <w:rsid w:val="007D53C3"/>
    <w:rsid w:val="007D595C"/>
    <w:rsid w:val="007D6463"/>
    <w:rsid w:val="007D67B1"/>
    <w:rsid w:val="007D6CEA"/>
    <w:rsid w:val="007D6FD3"/>
    <w:rsid w:val="007D704D"/>
    <w:rsid w:val="007D74D5"/>
    <w:rsid w:val="007D76EF"/>
    <w:rsid w:val="007D7C6A"/>
    <w:rsid w:val="007E0347"/>
    <w:rsid w:val="007E0414"/>
    <w:rsid w:val="007E06A3"/>
    <w:rsid w:val="007E0896"/>
    <w:rsid w:val="007E0BB3"/>
    <w:rsid w:val="007E1011"/>
    <w:rsid w:val="007E1185"/>
    <w:rsid w:val="007E18C8"/>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E4C"/>
    <w:rsid w:val="007F72AB"/>
    <w:rsid w:val="007F787E"/>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70C4"/>
    <w:rsid w:val="00817C89"/>
    <w:rsid w:val="00820352"/>
    <w:rsid w:val="008208CB"/>
    <w:rsid w:val="00820E08"/>
    <w:rsid w:val="00821007"/>
    <w:rsid w:val="008221A7"/>
    <w:rsid w:val="0082267A"/>
    <w:rsid w:val="00822DF5"/>
    <w:rsid w:val="00822DFC"/>
    <w:rsid w:val="00822EE2"/>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B3E"/>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DDE"/>
    <w:rsid w:val="00853E13"/>
    <w:rsid w:val="00854013"/>
    <w:rsid w:val="008541F9"/>
    <w:rsid w:val="00855716"/>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80"/>
    <w:rsid w:val="00875EED"/>
    <w:rsid w:val="00876A62"/>
    <w:rsid w:val="0087712C"/>
    <w:rsid w:val="00877BA5"/>
    <w:rsid w:val="00877E9B"/>
    <w:rsid w:val="00877EFB"/>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5FD"/>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204"/>
    <w:rsid w:val="008B6626"/>
    <w:rsid w:val="008B6E6F"/>
    <w:rsid w:val="008B7A81"/>
    <w:rsid w:val="008B7CC3"/>
    <w:rsid w:val="008B7F59"/>
    <w:rsid w:val="008B7F63"/>
    <w:rsid w:val="008C0057"/>
    <w:rsid w:val="008C006F"/>
    <w:rsid w:val="008C011C"/>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CD6"/>
    <w:rsid w:val="008D4495"/>
    <w:rsid w:val="008D4691"/>
    <w:rsid w:val="008D489E"/>
    <w:rsid w:val="008D4AD1"/>
    <w:rsid w:val="008D4BEA"/>
    <w:rsid w:val="008D50A9"/>
    <w:rsid w:val="008D57B7"/>
    <w:rsid w:val="008D69A2"/>
    <w:rsid w:val="008D71F3"/>
    <w:rsid w:val="008D76BA"/>
    <w:rsid w:val="008D7848"/>
    <w:rsid w:val="008D78DC"/>
    <w:rsid w:val="008D7B16"/>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5A2"/>
    <w:rsid w:val="008F0649"/>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D63"/>
    <w:rsid w:val="008F6FD1"/>
    <w:rsid w:val="008F709B"/>
    <w:rsid w:val="008F72DD"/>
    <w:rsid w:val="008F7624"/>
    <w:rsid w:val="008F788C"/>
    <w:rsid w:val="008F7F6D"/>
    <w:rsid w:val="00900197"/>
    <w:rsid w:val="009013BA"/>
    <w:rsid w:val="00901515"/>
    <w:rsid w:val="0090186F"/>
    <w:rsid w:val="00901926"/>
    <w:rsid w:val="00901A97"/>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F7A"/>
    <w:rsid w:val="00906183"/>
    <w:rsid w:val="009063B6"/>
    <w:rsid w:val="00906459"/>
    <w:rsid w:val="009064F7"/>
    <w:rsid w:val="00906A84"/>
    <w:rsid w:val="00906AD0"/>
    <w:rsid w:val="00907B3F"/>
    <w:rsid w:val="00907ECC"/>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1EBB"/>
    <w:rsid w:val="009327A8"/>
    <w:rsid w:val="00932F3C"/>
    <w:rsid w:val="009330FE"/>
    <w:rsid w:val="00933213"/>
    <w:rsid w:val="009340A4"/>
    <w:rsid w:val="00934674"/>
    <w:rsid w:val="009356E0"/>
    <w:rsid w:val="00935902"/>
    <w:rsid w:val="00935DF3"/>
    <w:rsid w:val="009361CD"/>
    <w:rsid w:val="009362C9"/>
    <w:rsid w:val="00936BCF"/>
    <w:rsid w:val="00936CD1"/>
    <w:rsid w:val="0093701F"/>
    <w:rsid w:val="009376DC"/>
    <w:rsid w:val="00937BD4"/>
    <w:rsid w:val="0094032C"/>
    <w:rsid w:val="0094050F"/>
    <w:rsid w:val="00940753"/>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5F73"/>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626"/>
    <w:rsid w:val="00971A09"/>
    <w:rsid w:val="0097268B"/>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D60"/>
    <w:rsid w:val="00984696"/>
    <w:rsid w:val="00984A8C"/>
    <w:rsid w:val="00984C9B"/>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456"/>
    <w:rsid w:val="009A2813"/>
    <w:rsid w:val="009A2A60"/>
    <w:rsid w:val="009A30E3"/>
    <w:rsid w:val="009A37C0"/>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870"/>
    <w:rsid w:val="009C0CF9"/>
    <w:rsid w:val="009C0D2B"/>
    <w:rsid w:val="009C15E0"/>
    <w:rsid w:val="009C1FC2"/>
    <w:rsid w:val="009C238C"/>
    <w:rsid w:val="009C26E4"/>
    <w:rsid w:val="009C2C3A"/>
    <w:rsid w:val="009C2C41"/>
    <w:rsid w:val="009C2E1B"/>
    <w:rsid w:val="009C3074"/>
    <w:rsid w:val="009C3B2E"/>
    <w:rsid w:val="009C3F78"/>
    <w:rsid w:val="009C41C4"/>
    <w:rsid w:val="009C4E54"/>
    <w:rsid w:val="009C5381"/>
    <w:rsid w:val="009C568A"/>
    <w:rsid w:val="009C58FB"/>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D8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50C"/>
    <w:rsid w:val="009F11DA"/>
    <w:rsid w:val="009F1B89"/>
    <w:rsid w:val="009F1D66"/>
    <w:rsid w:val="009F214E"/>
    <w:rsid w:val="009F2A86"/>
    <w:rsid w:val="009F2C7E"/>
    <w:rsid w:val="009F356A"/>
    <w:rsid w:val="009F363D"/>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D2B"/>
    <w:rsid w:val="00A45E6B"/>
    <w:rsid w:val="00A4607A"/>
    <w:rsid w:val="00A4623A"/>
    <w:rsid w:val="00A465A2"/>
    <w:rsid w:val="00A46ACF"/>
    <w:rsid w:val="00A479E6"/>
    <w:rsid w:val="00A47AA0"/>
    <w:rsid w:val="00A50336"/>
    <w:rsid w:val="00A50871"/>
    <w:rsid w:val="00A509EB"/>
    <w:rsid w:val="00A50CAB"/>
    <w:rsid w:val="00A50DAC"/>
    <w:rsid w:val="00A510B6"/>
    <w:rsid w:val="00A51158"/>
    <w:rsid w:val="00A51412"/>
    <w:rsid w:val="00A51891"/>
    <w:rsid w:val="00A51A1B"/>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A6"/>
    <w:rsid w:val="00A67DCF"/>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4123"/>
    <w:rsid w:val="00AA438D"/>
    <w:rsid w:val="00AA475B"/>
    <w:rsid w:val="00AA4871"/>
    <w:rsid w:val="00AA4956"/>
    <w:rsid w:val="00AA4C8A"/>
    <w:rsid w:val="00AA54DA"/>
    <w:rsid w:val="00AA56E3"/>
    <w:rsid w:val="00AA5884"/>
    <w:rsid w:val="00AA5CA0"/>
    <w:rsid w:val="00AA61BB"/>
    <w:rsid w:val="00AA6854"/>
    <w:rsid w:val="00AA6C84"/>
    <w:rsid w:val="00AA6F59"/>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057"/>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851"/>
    <w:rsid w:val="00B228F2"/>
    <w:rsid w:val="00B22B4A"/>
    <w:rsid w:val="00B2336B"/>
    <w:rsid w:val="00B235B8"/>
    <w:rsid w:val="00B23C83"/>
    <w:rsid w:val="00B23F9A"/>
    <w:rsid w:val="00B2415B"/>
    <w:rsid w:val="00B24225"/>
    <w:rsid w:val="00B2479C"/>
    <w:rsid w:val="00B247DE"/>
    <w:rsid w:val="00B24D92"/>
    <w:rsid w:val="00B2558D"/>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C1E"/>
    <w:rsid w:val="00B37D06"/>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A51"/>
    <w:rsid w:val="00B858DA"/>
    <w:rsid w:val="00B85A7F"/>
    <w:rsid w:val="00B85B67"/>
    <w:rsid w:val="00B85D76"/>
    <w:rsid w:val="00B85E0A"/>
    <w:rsid w:val="00B85F83"/>
    <w:rsid w:val="00B863EF"/>
    <w:rsid w:val="00B86703"/>
    <w:rsid w:val="00B86891"/>
    <w:rsid w:val="00B869C1"/>
    <w:rsid w:val="00B87603"/>
    <w:rsid w:val="00B87C7F"/>
    <w:rsid w:val="00B90082"/>
    <w:rsid w:val="00B904E3"/>
    <w:rsid w:val="00B90953"/>
    <w:rsid w:val="00B90E13"/>
    <w:rsid w:val="00B90FF0"/>
    <w:rsid w:val="00B9123A"/>
    <w:rsid w:val="00B919F6"/>
    <w:rsid w:val="00B91CA9"/>
    <w:rsid w:val="00B91D45"/>
    <w:rsid w:val="00B91D71"/>
    <w:rsid w:val="00B933BB"/>
    <w:rsid w:val="00B9367C"/>
    <w:rsid w:val="00B936C7"/>
    <w:rsid w:val="00B93987"/>
    <w:rsid w:val="00B940B2"/>
    <w:rsid w:val="00B941BB"/>
    <w:rsid w:val="00B94800"/>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0F81"/>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80"/>
    <w:rsid w:val="00BA7789"/>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C18"/>
    <w:rsid w:val="00BD2D14"/>
    <w:rsid w:val="00BD2FFE"/>
    <w:rsid w:val="00BD31BB"/>
    <w:rsid w:val="00BD391C"/>
    <w:rsid w:val="00BD40DD"/>
    <w:rsid w:val="00BD43D7"/>
    <w:rsid w:val="00BD44F2"/>
    <w:rsid w:val="00BD4DB5"/>
    <w:rsid w:val="00BD4E1D"/>
    <w:rsid w:val="00BD50E5"/>
    <w:rsid w:val="00BD5705"/>
    <w:rsid w:val="00BD57D0"/>
    <w:rsid w:val="00BD5C7A"/>
    <w:rsid w:val="00BD692D"/>
    <w:rsid w:val="00BD6E8E"/>
    <w:rsid w:val="00BD773B"/>
    <w:rsid w:val="00BD7912"/>
    <w:rsid w:val="00BD7F4A"/>
    <w:rsid w:val="00BE0597"/>
    <w:rsid w:val="00BE05B0"/>
    <w:rsid w:val="00BE0A35"/>
    <w:rsid w:val="00BE0B3F"/>
    <w:rsid w:val="00BE1748"/>
    <w:rsid w:val="00BE1943"/>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39C"/>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CD8"/>
    <w:rsid w:val="00C00168"/>
    <w:rsid w:val="00C0027B"/>
    <w:rsid w:val="00C003CC"/>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FF"/>
    <w:rsid w:val="00C06B06"/>
    <w:rsid w:val="00C06E4D"/>
    <w:rsid w:val="00C06ECC"/>
    <w:rsid w:val="00C074C3"/>
    <w:rsid w:val="00C07900"/>
    <w:rsid w:val="00C07AA3"/>
    <w:rsid w:val="00C07E36"/>
    <w:rsid w:val="00C07F76"/>
    <w:rsid w:val="00C10000"/>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3D"/>
    <w:rsid w:val="00C14BC8"/>
    <w:rsid w:val="00C15014"/>
    <w:rsid w:val="00C16030"/>
    <w:rsid w:val="00C16054"/>
    <w:rsid w:val="00C165DB"/>
    <w:rsid w:val="00C16971"/>
    <w:rsid w:val="00C16C8F"/>
    <w:rsid w:val="00C16EAD"/>
    <w:rsid w:val="00C1720A"/>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9DD"/>
    <w:rsid w:val="00C3183D"/>
    <w:rsid w:val="00C31900"/>
    <w:rsid w:val="00C31B45"/>
    <w:rsid w:val="00C31E01"/>
    <w:rsid w:val="00C32B8D"/>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DAB"/>
    <w:rsid w:val="00C8309F"/>
    <w:rsid w:val="00C832AE"/>
    <w:rsid w:val="00C83565"/>
    <w:rsid w:val="00C83A7C"/>
    <w:rsid w:val="00C83AC0"/>
    <w:rsid w:val="00C83F8A"/>
    <w:rsid w:val="00C841FB"/>
    <w:rsid w:val="00C847F9"/>
    <w:rsid w:val="00C85322"/>
    <w:rsid w:val="00C858E5"/>
    <w:rsid w:val="00C85E9C"/>
    <w:rsid w:val="00C861A1"/>
    <w:rsid w:val="00C8638F"/>
    <w:rsid w:val="00C8654B"/>
    <w:rsid w:val="00C8688E"/>
    <w:rsid w:val="00C86D89"/>
    <w:rsid w:val="00C87B13"/>
    <w:rsid w:val="00C903B7"/>
    <w:rsid w:val="00C904F5"/>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682"/>
    <w:rsid w:val="00CA17C3"/>
    <w:rsid w:val="00CA1B26"/>
    <w:rsid w:val="00CA1B51"/>
    <w:rsid w:val="00CA1C96"/>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CC5"/>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A8B"/>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5D53"/>
    <w:rsid w:val="00D25D9C"/>
    <w:rsid w:val="00D25E4D"/>
    <w:rsid w:val="00D267EE"/>
    <w:rsid w:val="00D270D7"/>
    <w:rsid w:val="00D2714F"/>
    <w:rsid w:val="00D27481"/>
    <w:rsid w:val="00D27624"/>
    <w:rsid w:val="00D2766D"/>
    <w:rsid w:val="00D27B33"/>
    <w:rsid w:val="00D27D93"/>
    <w:rsid w:val="00D305D6"/>
    <w:rsid w:val="00D307AF"/>
    <w:rsid w:val="00D307C3"/>
    <w:rsid w:val="00D31524"/>
    <w:rsid w:val="00D31943"/>
    <w:rsid w:val="00D32885"/>
    <w:rsid w:val="00D32E22"/>
    <w:rsid w:val="00D32E5F"/>
    <w:rsid w:val="00D333E7"/>
    <w:rsid w:val="00D334FC"/>
    <w:rsid w:val="00D33B6C"/>
    <w:rsid w:val="00D3527C"/>
    <w:rsid w:val="00D3531D"/>
    <w:rsid w:val="00D35B42"/>
    <w:rsid w:val="00D3617B"/>
    <w:rsid w:val="00D36D6E"/>
    <w:rsid w:val="00D36E2F"/>
    <w:rsid w:val="00D37228"/>
    <w:rsid w:val="00D37A6D"/>
    <w:rsid w:val="00D40179"/>
    <w:rsid w:val="00D4031E"/>
    <w:rsid w:val="00D409A7"/>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72B"/>
    <w:rsid w:val="00D51C76"/>
    <w:rsid w:val="00D51EE5"/>
    <w:rsid w:val="00D52344"/>
    <w:rsid w:val="00D52655"/>
    <w:rsid w:val="00D52714"/>
    <w:rsid w:val="00D52810"/>
    <w:rsid w:val="00D528FE"/>
    <w:rsid w:val="00D52E9D"/>
    <w:rsid w:val="00D53163"/>
    <w:rsid w:val="00D5316A"/>
    <w:rsid w:val="00D5356B"/>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5E6"/>
    <w:rsid w:val="00D8775C"/>
    <w:rsid w:val="00D87A9A"/>
    <w:rsid w:val="00D9007C"/>
    <w:rsid w:val="00D90343"/>
    <w:rsid w:val="00D90E92"/>
    <w:rsid w:val="00D91677"/>
    <w:rsid w:val="00D918A4"/>
    <w:rsid w:val="00D918E8"/>
    <w:rsid w:val="00D91A0C"/>
    <w:rsid w:val="00D9204F"/>
    <w:rsid w:val="00D92174"/>
    <w:rsid w:val="00D92AE6"/>
    <w:rsid w:val="00D92C8E"/>
    <w:rsid w:val="00D932B5"/>
    <w:rsid w:val="00D933C3"/>
    <w:rsid w:val="00D934D2"/>
    <w:rsid w:val="00D94D29"/>
    <w:rsid w:val="00D95069"/>
    <w:rsid w:val="00D95379"/>
    <w:rsid w:val="00D95615"/>
    <w:rsid w:val="00D9591A"/>
    <w:rsid w:val="00D9650F"/>
    <w:rsid w:val="00D96991"/>
    <w:rsid w:val="00D96F6F"/>
    <w:rsid w:val="00D975CD"/>
    <w:rsid w:val="00D97624"/>
    <w:rsid w:val="00D97C60"/>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081"/>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65B"/>
    <w:rsid w:val="00DC27DE"/>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5E6"/>
    <w:rsid w:val="00DC7607"/>
    <w:rsid w:val="00DD063A"/>
    <w:rsid w:val="00DD06E8"/>
    <w:rsid w:val="00DD0DE9"/>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D85"/>
    <w:rsid w:val="00DE5EFD"/>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8E9"/>
    <w:rsid w:val="00E05967"/>
    <w:rsid w:val="00E05FBE"/>
    <w:rsid w:val="00E0604B"/>
    <w:rsid w:val="00E06372"/>
    <w:rsid w:val="00E06ABF"/>
    <w:rsid w:val="00E06B98"/>
    <w:rsid w:val="00E06F1E"/>
    <w:rsid w:val="00E070A1"/>
    <w:rsid w:val="00E075D4"/>
    <w:rsid w:val="00E07D46"/>
    <w:rsid w:val="00E07DAE"/>
    <w:rsid w:val="00E102F8"/>
    <w:rsid w:val="00E116F9"/>
    <w:rsid w:val="00E119EF"/>
    <w:rsid w:val="00E11B85"/>
    <w:rsid w:val="00E11F1D"/>
    <w:rsid w:val="00E11F85"/>
    <w:rsid w:val="00E12214"/>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3BF"/>
    <w:rsid w:val="00E364F5"/>
    <w:rsid w:val="00E36A31"/>
    <w:rsid w:val="00E36CD3"/>
    <w:rsid w:val="00E36D40"/>
    <w:rsid w:val="00E3717A"/>
    <w:rsid w:val="00E37763"/>
    <w:rsid w:val="00E37974"/>
    <w:rsid w:val="00E37B43"/>
    <w:rsid w:val="00E37FF8"/>
    <w:rsid w:val="00E4025F"/>
    <w:rsid w:val="00E40544"/>
    <w:rsid w:val="00E40591"/>
    <w:rsid w:val="00E40B64"/>
    <w:rsid w:val="00E4127D"/>
    <w:rsid w:val="00E41974"/>
    <w:rsid w:val="00E419AF"/>
    <w:rsid w:val="00E41B30"/>
    <w:rsid w:val="00E41B5B"/>
    <w:rsid w:val="00E421F3"/>
    <w:rsid w:val="00E427FB"/>
    <w:rsid w:val="00E42829"/>
    <w:rsid w:val="00E42E54"/>
    <w:rsid w:val="00E43202"/>
    <w:rsid w:val="00E43229"/>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73FC"/>
    <w:rsid w:val="00E477B0"/>
    <w:rsid w:val="00E47DF3"/>
    <w:rsid w:val="00E47F8A"/>
    <w:rsid w:val="00E5035A"/>
    <w:rsid w:val="00E5078D"/>
    <w:rsid w:val="00E51C28"/>
    <w:rsid w:val="00E51FD0"/>
    <w:rsid w:val="00E52B42"/>
    <w:rsid w:val="00E52E2C"/>
    <w:rsid w:val="00E52E47"/>
    <w:rsid w:val="00E53348"/>
    <w:rsid w:val="00E53478"/>
    <w:rsid w:val="00E539C3"/>
    <w:rsid w:val="00E53CAC"/>
    <w:rsid w:val="00E53CD3"/>
    <w:rsid w:val="00E53DC3"/>
    <w:rsid w:val="00E54402"/>
    <w:rsid w:val="00E5492C"/>
    <w:rsid w:val="00E54E05"/>
    <w:rsid w:val="00E55059"/>
    <w:rsid w:val="00E55060"/>
    <w:rsid w:val="00E55523"/>
    <w:rsid w:val="00E55623"/>
    <w:rsid w:val="00E55AA9"/>
    <w:rsid w:val="00E562C4"/>
    <w:rsid w:val="00E5657C"/>
    <w:rsid w:val="00E56DF8"/>
    <w:rsid w:val="00E56F2B"/>
    <w:rsid w:val="00E572BE"/>
    <w:rsid w:val="00E5746A"/>
    <w:rsid w:val="00E57690"/>
    <w:rsid w:val="00E57A03"/>
    <w:rsid w:val="00E608DA"/>
    <w:rsid w:val="00E60A88"/>
    <w:rsid w:val="00E60F9C"/>
    <w:rsid w:val="00E613B2"/>
    <w:rsid w:val="00E6167D"/>
    <w:rsid w:val="00E616FD"/>
    <w:rsid w:val="00E621C6"/>
    <w:rsid w:val="00E6255F"/>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754"/>
    <w:rsid w:val="00E9485D"/>
    <w:rsid w:val="00E94DEA"/>
    <w:rsid w:val="00E952EA"/>
    <w:rsid w:val="00E95483"/>
    <w:rsid w:val="00E95CA1"/>
    <w:rsid w:val="00E9692F"/>
    <w:rsid w:val="00E96A88"/>
    <w:rsid w:val="00E96B35"/>
    <w:rsid w:val="00E96D02"/>
    <w:rsid w:val="00E96F95"/>
    <w:rsid w:val="00E970EF"/>
    <w:rsid w:val="00E972C7"/>
    <w:rsid w:val="00E97447"/>
    <w:rsid w:val="00E975E9"/>
    <w:rsid w:val="00E976F0"/>
    <w:rsid w:val="00EA0102"/>
    <w:rsid w:val="00EA03F2"/>
    <w:rsid w:val="00EA0613"/>
    <w:rsid w:val="00EA063B"/>
    <w:rsid w:val="00EA08D5"/>
    <w:rsid w:val="00EA0B6D"/>
    <w:rsid w:val="00EA0CD5"/>
    <w:rsid w:val="00EA14F3"/>
    <w:rsid w:val="00EA16A9"/>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E0A"/>
    <w:rsid w:val="00EC4E3B"/>
    <w:rsid w:val="00EC5306"/>
    <w:rsid w:val="00EC5426"/>
    <w:rsid w:val="00EC5B13"/>
    <w:rsid w:val="00EC5CA9"/>
    <w:rsid w:val="00EC61D5"/>
    <w:rsid w:val="00EC678F"/>
    <w:rsid w:val="00EC6A7F"/>
    <w:rsid w:val="00EC7677"/>
    <w:rsid w:val="00EC76D7"/>
    <w:rsid w:val="00EC7BFE"/>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0D"/>
    <w:rsid w:val="00ED7547"/>
    <w:rsid w:val="00ED7F6A"/>
    <w:rsid w:val="00EE004B"/>
    <w:rsid w:val="00EE02F0"/>
    <w:rsid w:val="00EE0B7B"/>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29F"/>
    <w:rsid w:val="00F5057E"/>
    <w:rsid w:val="00F5140C"/>
    <w:rsid w:val="00F51517"/>
    <w:rsid w:val="00F5184F"/>
    <w:rsid w:val="00F5243D"/>
    <w:rsid w:val="00F5285D"/>
    <w:rsid w:val="00F52897"/>
    <w:rsid w:val="00F53509"/>
    <w:rsid w:val="00F53885"/>
    <w:rsid w:val="00F53C0F"/>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60650"/>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BE"/>
    <w:rsid w:val="00F7311D"/>
    <w:rsid w:val="00F7338A"/>
    <w:rsid w:val="00F735FB"/>
    <w:rsid w:val="00F74C46"/>
    <w:rsid w:val="00F74E1B"/>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74B"/>
    <w:rsid w:val="00F959BB"/>
    <w:rsid w:val="00F95A92"/>
    <w:rsid w:val="00F95ADE"/>
    <w:rsid w:val="00F963E4"/>
    <w:rsid w:val="00F96484"/>
    <w:rsid w:val="00F96774"/>
    <w:rsid w:val="00F969FC"/>
    <w:rsid w:val="00F96A82"/>
    <w:rsid w:val="00FA00BC"/>
    <w:rsid w:val="00FA01E0"/>
    <w:rsid w:val="00FA0365"/>
    <w:rsid w:val="00FA042F"/>
    <w:rsid w:val="00FA04F7"/>
    <w:rsid w:val="00FA079A"/>
    <w:rsid w:val="00FA0984"/>
    <w:rsid w:val="00FA0C77"/>
    <w:rsid w:val="00FA0DE1"/>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B7EB8"/>
    <w:rsid w:val="00FC0047"/>
    <w:rsid w:val="00FC076A"/>
    <w:rsid w:val="00FC0945"/>
    <w:rsid w:val="00FC0A61"/>
    <w:rsid w:val="00FC0B6B"/>
    <w:rsid w:val="00FC0B9D"/>
    <w:rsid w:val="00FC0C58"/>
    <w:rsid w:val="00FC1160"/>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612"/>
    <w:rsid w:val="00FF0466"/>
    <w:rsid w:val="00FF0EA4"/>
    <w:rsid w:val="00FF0F79"/>
    <w:rsid w:val="00FF0FD8"/>
    <w:rsid w:val="00FF102C"/>
    <w:rsid w:val="00FF1221"/>
    <w:rsid w:val="00FF12F9"/>
    <w:rsid w:val="00FF184E"/>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colormru v:ext="edit" colors="#cae6ca"/>
      <o:colormenu v:ext="edit" fillcolor="none [3212]"/>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2A42A-4245-4FBD-8940-4D6DCA8B9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4E02403-1AF7-4C1E-86B1-B3CC50AF6C50}">
  <ds:schemaRefs>
    <ds:schemaRef ds:uri="98194d48-cc26-4b7e-909f-baa95c83abfa"/>
    <ds:schemaRef ds:uri="http://schemas.microsoft.com/office/2006/documentManagement/types"/>
    <ds:schemaRef ds:uri="1c248485-b98a-4513-a581-ff7cb1688d78"/>
    <ds:schemaRef ds:uri="http://schemas.microsoft.com/office/2006/metadata/properties"/>
    <ds:schemaRef ds:uri="http://purl.org/dc/dcmitype/"/>
    <ds:schemaRef ds:uri="http://www.w3.org/XML/1998/namespace"/>
    <ds:schemaRef ds:uri="http://purl.org/dc/terms/"/>
    <ds:schemaRef ds:uri="http://schemas.openxmlformats.org/package/2006/metadata/core-properties"/>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5.xml><?xml version="1.0" encoding="utf-8"?>
<ds:datastoreItem xmlns:ds="http://schemas.openxmlformats.org/officeDocument/2006/customXml" ds:itemID="{1FA1B265-1ED7-4862-9CBC-4EEF13C09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957</Words>
  <Characters>4964</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2024-09-18T02:04:00Z</dcterms:created>
  <dcterms:modified xsi:type="dcterms:W3CDTF">2024-10-04T03:56:00Z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